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DDE" w:rsidRPr="007E5DDE" w:rsidRDefault="007E5DDE" w:rsidP="007E5DDE">
      <w:pPr>
        <w:spacing w:before="100" w:beforeAutospacing="1" w:after="100" w:afterAutospacing="1" w:line="240" w:lineRule="auto"/>
        <w:rPr>
          <w:rFonts w:ascii="Arial" w:eastAsia="Times New Roman" w:hAnsi="Arial" w:cs="Arial"/>
          <w:sz w:val="14"/>
        </w:rPr>
      </w:pPr>
      <w:r w:rsidRPr="007E5DDE">
        <w:rPr>
          <w:rFonts w:ascii="Arial" w:eastAsia="Times New Roman" w:hAnsi="Arial" w:cs="Arial"/>
          <w:b/>
          <w:bCs/>
          <w:sz w:val="18"/>
        </w:rPr>
        <w:t>Title 40: Protection of Environment</w:t>
      </w:r>
      <w:r w:rsidRPr="007E5DDE">
        <w:rPr>
          <w:rFonts w:ascii="Arial" w:eastAsia="Times New Roman" w:hAnsi="Arial" w:cs="Arial"/>
          <w:sz w:val="14"/>
          <w:szCs w:val="14"/>
        </w:rPr>
        <w:br/>
      </w:r>
      <w:bookmarkStart w:id="0" w:name="40:9.0.1.1.1"/>
      <w:r w:rsidR="00860D78" w:rsidRPr="007E5DDE">
        <w:rPr>
          <w:rFonts w:ascii="Arial" w:eastAsia="Times New Roman" w:hAnsi="Arial" w:cs="Arial"/>
          <w:sz w:val="14"/>
        </w:rPr>
        <w:fldChar w:fldCharType="begin"/>
      </w:r>
      <w:r w:rsidRPr="007E5DDE">
        <w:rPr>
          <w:rFonts w:ascii="Arial" w:eastAsia="Times New Roman" w:hAnsi="Arial" w:cs="Arial"/>
          <w:sz w:val="14"/>
        </w:rPr>
        <w:instrText xml:space="preserve"> HYPERLINK "http://ecfr.gpoaccess.gov/cgi/t/text/text-idx?c=ecfr;rgn=div5;view=text;node=40%3A9.0.1.1.1;idno=40;sid=d54a78b9c00f0aa49664cfc3474034a0;cc=ecfr" </w:instrText>
      </w:r>
      <w:r w:rsidR="00860D78" w:rsidRPr="007E5DDE">
        <w:rPr>
          <w:rFonts w:ascii="Arial" w:eastAsia="Times New Roman" w:hAnsi="Arial" w:cs="Arial"/>
          <w:sz w:val="14"/>
        </w:rPr>
        <w:fldChar w:fldCharType="separate"/>
      </w:r>
      <w:r w:rsidRPr="007E5DDE">
        <w:rPr>
          <w:rFonts w:ascii="Arial" w:eastAsia="Times New Roman" w:hAnsi="Arial" w:cs="Arial"/>
          <w:color w:val="0000FF"/>
          <w:sz w:val="14"/>
          <w:u w:val="single"/>
        </w:rPr>
        <w:t>PART 63—NATIONAL EMISSION STANDARDS FOR HAZARDOUS AIR POLLUTANTS FOR SOURCE CATEGORIES</w:t>
      </w:r>
      <w:r w:rsidR="00860D78" w:rsidRPr="007E5DDE">
        <w:rPr>
          <w:rFonts w:ascii="Arial" w:eastAsia="Times New Roman" w:hAnsi="Arial" w:cs="Arial"/>
          <w:sz w:val="14"/>
        </w:rPr>
        <w:fldChar w:fldCharType="end"/>
      </w:r>
      <w:bookmarkEnd w:id="0"/>
      <w:r w:rsidRPr="007E5DDE">
        <w:rPr>
          <w:rFonts w:ascii="Arial" w:eastAsia="Times New Roman" w:hAnsi="Arial" w:cs="Arial"/>
          <w:sz w:val="14"/>
        </w:rPr>
        <w:t xml:space="preserve"> </w:t>
      </w:r>
    </w:p>
    <w:p w:rsidR="007E5DDE" w:rsidRPr="007E5DDE" w:rsidRDefault="00860D78" w:rsidP="007E5DDE">
      <w:pPr>
        <w:spacing w:before="100" w:beforeAutospacing="1" w:after="100" w:afterAutospacing="1" w:line="240" w:lineRule="auto"/>
        <w:rPr>
          <w:rFonts w:ascii="Times New Roman" w:eastAsia="Times New Roman" w:hAnsi="Times New Roman" w:cs="Times New Roman"/>
          <w:sz w:val="24"/>
          <w:szCs w:val="24"/>
        </w:rPr>
      </w:pPr>
      <w:hyperlink r:id="rId6" w:history="1">
        <w:r w:rsidR="007E5DDE" w:rsidRPr="007E5DDE">
          <w:rPr>
            <w:rFonts w:ascii="Arial" w:eastAsia="Times New Roman" w:hAnsi="Arial" w:cs="Arial"/>
            <w:color w:val="0000FF"/>
            <w:sz w:val="14"/>
            <w:u w:val="single"/>
          </w:rPr>
          <w:t>Browse Next</w:t>
        </w:r>
      </w:hyperlink>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Subpart A—General Provisions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b/>
          <w:bCs/>
          <w:sz w:val="20"/>
          <w:szCs w:val="20"/>
        </w:rPr>
        <w:t>Source:</w:t>
      </w:r>
      <w:r w:rsidRPr="007E5DDE">
        <w:rPr>
          <w:rFonts w:ascii="Book Antiqua" w:eastAsia="Times New Roman" w:hAnsi="Book Antiqua" w:cs="Arial"/>
          <w:sz w:val="20"/>
          <w:szCs w:val="20"/>
        </w:rPr>
        <w:t xml:space="preserve">   59 FR 12430, Mar. 16, 1994, unless otherwise noted. </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   Applicability.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General. </w:t>
      </w:r>
      <w:r w:rsidRPr="007E5DDE">
        <w:rPr>
          <w:rFonts w:ascii="Book Antiqua" w:eastAsia="Times New Roman" w:hAnsi="Book Antiqua" w:cs="Arial"/>
          <w:sz w:val="20"/>
          <w:szCs w:val="20"/>
        </w:rPr>
        <w:t>(1) Terms used throughout this part are defined in §63.2 or in the Clean Air Act (Act) as amended in 1990, except that individual subparts of this part may include specific definitions in addition to or that supersede definitions in §63.2.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(4)(i) Each relevant standard in this part 63 must identify explicitly whether each provision in this subpart A is or is not included in such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General Provisions in this subpart A do not apply to regulations developed pursuant to section 112(r) of the amended Act, unless otherwise specified in those regulations.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(7)–(9)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lastRenderedPageBreak/>
        <w:t>(10) For the purposes of this part, time periods specified in days shall be measured in calendar days, even if the word “calendar” is absent, unless otherwise specified in an applicable requirement.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Initial applicability determination for this part. </w:t>
      </w:r>
      <w:r w:rsidRPr="007E5DDE">
        <w:rPr>
          <w:rFonts w:ascii="Book Antiqua" w:eastAsia="Times New Roman" w:hAnsi="Book Antiqua" w:cs="Arial"/>
          <w:sz w:val="20"/>
          <w:szCs w:val="20"/>
        </w:rPr>
        <w:t>(1) The provisions of this part apply to the owner or operator of any stationary source that—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Emits or has the potential to emit any hazardous air pollutant listed in or pursuant to section 112(b) of the Act;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Is subject to any standard, limitation, prohibition, or other federally enforceable requirement established pursuant to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An owner or operator of a stationary source who is in the relevant source category and who determines that the source is not subject to a relevant standard or other requirement established under this part must keep a record as specified in §63.10(b)(3).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Applicability of this part after a relevant standard has been set under this part. </w:t>
      </w:r>
      <w:r w:rsidRPr="007E5DDE">
        <w:rPr>
          <w:rFonts w:ascii="Book Antiqua" w:eastAsia="Times New Roman" w:hAnsi="Book Antiqua" w:cs="Arial"/>
          <w:sz w:val="20"/>
          <w:szCs w:val="20"/>
        </w:rPr>
        <w:t>(1) If a relevant standard has been established under this part, the owner or operator of an affected source must comply with the provisions of that standard and of this subpart as provided in paragraph (a)(4)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States will have the option to exclude area sources affected by that standard from the requirement to obtain a title V permit (i.e., the standard will exempt the category of area sources altogether from the permitting requirement);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States will have the option to defer permitting of area sources in that category until the Administrator takes rulemaking action to determine applicability of the permitting requirements;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(3)–(4)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67 FR 16595, Apr. 5, 2002]</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63.2   Definitions.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The terms used in this part are defined in the Act or in this section as follows: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Act </w:t>
      </w:r>
      <w:r w:rsidRPr="007E5DDE">
        <w:rPr>
          <w:rFonts w:ascii="Book Antiqua" w:eastAsia="Times New Roman" w:hAnsi="Book Antiqua" w:cs="Arial"/>
          <w:sz w:val="20"/>
          <w:szCs w:val="20"/>
        </w:rPr>
        <w:t>means the Clean Air Act (42 U.S.C. 7401 et seq., as amended by Pub. L. 101–549, 104 Stat. 2399).</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Actual emissions </w:t>
      </w:r>
      <w:r w:rsidRPr="007E5DDE">
        <w:rPr>
          <w:rFonts w:ascii="Book Antiqua" w:eastAsia="Times New Roman" w:hAnsi="Book Antiqua" w:cs="Arial"/>
          <w:sz w:val="20"/>
          <w:szCs w:val="20"/>
        </w:rPr>
        <w:t>is defined in subpart D of this part for the purpose of granting a compliance extension for an early reduction of hazardous air pollutants.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Administrator </w:t>
      </w:r>
      <w:r w:rsidRPr="007E5DDE">
        <w:rPr>
          <w:rFonts w:ascii="Book Antiqua" w:eastAsia="Times New Roman" w:hAnsi="Book Antiqua" w:cs="Arial"/>
          <w:sz w:val="20"/>
          <w:szCs w:val="20"/>
        </w:rPr>
        <w:t>means the Administrator of the United States Environmental Protection Agency or his or her authorized representative (e.g., a State that has been delegated the authority to implement the provisions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Affected source, </w:t>
      </w:r>
      <w:r w:rsidRPr="007E5DDE">
        <w:rPr>
          <w:rFonts w:ascii="Book Antiqua" w:eastAsia="Times New Roman" w:hAnsi="Book Antiqua" w:cs="Arial"/>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Alternative emission limitation </w:t>
      </w:r>
      <w:r w:rsidRPr="007E5DDE">
        <w:rPr>
          <w:rFonts w:ascii="Book Antiqua" w:eastAsia="Times New Roman" w:hAnsi="Book Antiqua" w:cs="Arial"/>
          <w:sz w:val="20"/>
          <w:szCs w:val="20"/>
        </w:rPr>
        <w:t>means conditions established pursuant to sections 112(i)(5) or 112(i)(6) of the Act by the Administrator or by a State with an approved permit program.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Alternative emission standard </w:t>
      </w:r>
      <w:r w:rsidRPr="007E5DDE">
        <w:rPr>
          <w:rFonts w:ascii="Book Antiqua" w:eastAsia="Times New Roman" w:hAnsi="Book Antiqua" w:cs="Arial"/>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Alternative test method </w:t>
      </w:r>
      <w:r w:rsidRPr="007E5DDE">
        <w:rPr>
          <w:rFonts w:ascii="Book Antiqua" w:eastAsia="Times New Roman" w:hAnsi="Book Antiqua" w:cs="Arial"/>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Approved permit program </w:t>
      </w:r>
      <w:r w:rsidRPr="007E5DDE">
        <w:rPr>
          <w:rFonts w:ascii="Book Antiqua" w:eastAsia="Times New Roman" w:hAnsi="Book Antiqua" w:cs="Arial"/>
          <w:sz w:val="20"/>
          <w:szCs w:val="20"/>
        </w:rPr>
        <w:t>means a State permit program approved by the Administrator as meeting the requirements of part 70 of this chapter or a Federal permit program established in this chapter pursuant to title V of the Act (42 U.S.C. 7661).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Area source </w:t>
      </w:r>
      <w:r w:rsidRPr="007E5DDE">
        <w:rPr>
          <w:rFonts w:ascii="Book Antiqua" w:eastAsia="Times New Roman" w:hAnsi="Book Antiqua" w:cs="Arial"/>
          <w:sz w:val="20"/>
          <w:szCs w:val="20"/>
        </w:rPr>
        <w:t>means any stationary source of hazardous air pollutants that is not a major source as defined in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Commenced </w:t>
      </w:r>
      <w:r w:rsidRPr="007E5DDE">
        <w:rPr>
          <w:rFonts w:ascii="Book Antiqua" w:eastAsia="Times New Roman" w:hAnsi="Book Antiqua" w:cs="Arial"/>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Compliance date </w:t>
      </w:r>
      <w:r w:rsidRPr="007E5DDE">
        <w:rPr>
          <w:rFonts w:ascii="Book Antiqua" w:eastAsia="Times New Roman" w:hAnsi="Book Antiqua" w:cs="Arial"/>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Compliance schedule </w:t>
      </w:r>
      <w:r w:rsidRPr="007E5DDE">
        <w:rPr>
          <w:rFonts w:ascii="Book Antiqua" w:eastAsia="Times New Roman" w:hAnsi="Book Antiqua" w:cs="Arial"/>
          <w:sz w:val="20"/>
          <w:szCs w:val="20"/>
        </w:rPr>
        <w:t>means: (1) In the case of an affected source that is in compliance with all applicable requirements established under this part, a statement that the source will continue to comply with such requirements;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Construction </w:t>
      </w:r>
      <w:r w:rsidRPr="007E5DDE">
        <w:rPr>
          <w:rFonts w:ascii="Book Antiqua" w:eastAsia="Times New Roman" w:hAnsi="Book Antiqua" w:cs="Arial"/>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Continuous emission monitoring system </w:t>
      </w:r>
      <w:r w:rsidRPr="007E5DDE">
        <w:rPr>
          <w:rFonts w:ascii="Book Antiqua" w:eastAsia="Times New Roman" w:hAnsi="Book Antiqua" w:cs="Arial"/>
          <w:sz w:val="20"/>
          <w:szCs w:val="20"/>
        </w:rPr>
        <w:t>(CEMS) means the total equipment that may be required to meet the data acquisition and availability requirements of this part, used to sample, condition (if applicable), analyze, and provide a record of emissions.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Continuous monitoring system </w:t>
      </w:r>
      <w:r w:rsidRPr="007E5DDE">
        <w:rPr>
          <w:rFonts w:ascii="Book Antiqua" w:eastAsia="Times New Roman" w:hAnsi="Book Antiqua" w:cs="Arial"/>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Continuous opacity monitoring system </w:t>
      </w:r>
      <w:r w:rsidRPr="007E5DDE">
        <w:rPr>
          <w:rFonts w:ascii="Book Antiqua" w:eastAsia="Times New Roman" w:hAnsi="Book Antiqua" w:cs="Arial"/>
          <w:sz w:val="20"/>
          <w:szCs w:val="20"/>
        </w:rPr>
        <w:t>(COMS) means a continuous monitoring system that measures the opacity of emissions.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Continuous parameter monitoring system </w:t>
      </w:r>
      <w:r w:rsidRPr="007E5DDE">
        <w:rPr>
          <w:rFonts w:ascii="Book Antiqua" w:eastAsia="Times New Roman" w:hAnsi="Book Antiqua" w:cs="Arial"/>
          <w:sz w:val="20"/>
          <w:szCs w:val="20"/>
        </w:rPr>
        <w:t>means the total equipment that may be required to meet the data acquisition and availability requirements of this part, used to sample, condition (if applicable), analyze, and provide a record of process or control system parameters.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Effective date </w:t>
      </w:r>
      <w:r w:rsidRPr="007E5DDE">
        <w:rPr>
          <w:rFonts w:ascii="Book Antiqua" w:eastAsia="Times New Roman" w:hAnsi="Book Antiqua" w:cs="Arial"/>
          <w:sz w:val="20"/>
          <w:szCs w:val="20"/>
        </w:rPr>
        <w:t>means: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With regard to an emission standard established under this part, the date of promulgation in the  Federal Register  of such standard;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Emission standard </w:t>
      </w:r>
      <w:r w:rsidRPr="007E5DDE">
        <w:rPr>
          <w:rFonts w:ascii="Book Antiqua" w:eastAsia="Times New Roman" w:hAnsi="Book Antiqua" w:cs="Arial"/>
          <w:sz w:val="20"/>
          <w:szCs w:val="20"/>
        </w:rPr>
        <w:t>means a national standard, limitation, prohibition, or other regulation promulgated in a subpart of this part pursuant to sections 112(d), 112(h), or 112(f)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Emissions averaging </w:t>
      </w:r>
      <w:r w:rsidRPr="007E5DDE">
        <w:rPr>
          <w:rFonts w:ascii="Book Antiqua" w:eastAsia="Times New Roman" w:hAnsi="Book Antiqua" w:cs="Arial"/>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EPA </w:t>
      </w:r>
      <w:r w:rsidRPr="007E5DDE">
        <w:rPr>
          <w:rFonts w:ascii="Book Antiqua" w:eastAsia="Times New Roman" w:hAnsi="Book Antiqua" w:cs="Arial"/>
          <w:sz w:val="20"/>
          <w:szCs w:val="20"/>
        </w:rPr>
        <w:t>means the United States Environmental Protection Agency.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Equivalent emission limitation </w:t>
      </w:r>
      <w:r w:rsidRPr="007E5DDE">
        <w:rPr>
          <w:rFonts w:ascii="Book Antiqua" w:eastAsia="Times New Roman" w:hAnsi="Book Antiqua" w:cs="Arial"/>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Excess emissions and continuous monitoring system performance report </w:t>
      </w:r>
      <w:r w:rsidRPr="007E5DDE">
        <w:rPr>
          <w:rFonts w:ascii="Book Antiqua" w:eastAsia="Times New Roman" w:hAnsi="Book Antiqua" w:cs="Arial"/>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Existing source </w:t>
      </w:r>
      <w:r w:rsidRPr="007E5DDE">
        <w:rPr>
          <w:rFonts w:ascii="Book Antiqua" w:eastAsia="Times New Roman" w:hAnsi="Book Antiqua" w:cs="Arial"/>
          <w:sz w:val="20"/>
          <w:szCs w:val="20"/>
        </w:rPr>
        <w:t>means any affected source that is not a new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Federally enforceable </w:t>
      </w:r>
      <w:r w:rsidRPr="007E5DDE">
        <w:rPr>
          <w:rFonts w:ascii="Book Antiqua" w:eastAsia="Times New Roman" w:hAnsi="Book Antiqua" w:cs="Arial"/>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Emission standards, alternative emission standards, alternative emission limitations, and equivalent emission limitations established pursuant to section 112 of the Act as amended in 1990;</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New source performance standards established pursuant to section 111 of the Act, and emission standards established pursuant to section 112 of the Act before it was amended in 1990;</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All terms and conditions in a title V permit, including any provisions that limit a source's potential to emit, unless expressly designated as not federally enforceable;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Limitations and conditions that are part of an approved State Implementation Plan (SIP) or a Federal Implementation Plan (FIP);</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Limitations and conditions that are part of a Federal construction permit issued under 40 CFR 52.21 or any construction permit issued under regulations approved by the EPA in accordance with 40 CFR part 51;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Limitations and conditions that are part of an operating permit where the permit and the permitting program pursuant to which it was issued meet all of the following criteria: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operating permit program has been submitted to and approved by EPA into a State implementation plan (SIP) under section 110 of the CAA;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limitations, controls, and requirements in the permit in question are permanent, quantifiable, and otherwise enforceable as a practical matter;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The permit in question was issued only after adequate and timely notice and opportunity for comment for EPA and the public.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Limitations and conditions in a State rule or program that has been approved by the EPA under subpart E of this part for the purposes of implementing and enforcing section 112;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 Individual consent agreements that the EPA has legal authority to create.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Fixed capital cost </w:t>
      </w:r>
      <w:r w:rsidRPr="007E5DDE">
        <w:rPr>
          <w:rFonts w:ascii="Book Antiqua" w:eastAsia="Times New Roman" w:hAnsi="Book Antiqua" w:cs="Arial"/>
          <w:sz w:val="20"/>
          <w:szCs w:val="20"/>
        </w:rPr>
        <w:t>means the capital needed to provide all the depreciable components of an existing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Force majeure </w:t>
      </w:r>
      <w:r w:rsidRPr="007E5DDE">
        <w:rPr>
          <w:rFonts w:ascii="Book Antiqua" w:eastAsia="Times New Roman" w:hAnsi="Book Antiqua" w:cs="Arial"/>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Fugitive emissions </w:t>
      </w:r>
      <w:r w:rsidRPr="007E5DDE">
        <w:rPr>
          <w:rFonts w:ascii="Book Antiqua" w:eastAsia="Times New Roman" w:hAnsi="Book Antiqua" w:cs="Arial"/>
          <w:sz w:val="20"/>
          <w:szCs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Hazardous air pollutant </w:t>
      </w:r>
      <w:r w:rsidRPr="007E5DDE">
        <w:rPr>
          <w:rFonts w:ascii="Book Antiqua" w:eastAsia="Times New Roman" w:hAnsi="Book Antiqua" w:cs="Arial"/>
          <w:sz w:val="20"/>
          <w:szCs w:val="20"/>
        </w:rPr>
        <w:t>means any air pollutant listed in or pursuant to section 112(b)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Issuance </w:t>
      </w:r>
      <w:r w:rsidRPr="007E5DDE">
        <w:rPr>
          <w:rFonts w:ascii="Book Antiqua" w:eastAsia="Times New Roman" w:hAnsi="Book Antiqua" w:cs="Arial"/>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Major source </w:t>
      </w:r>
      <w:r w:rsidRPr="007E5DDE">
        <w:rPr>
          <w:rFonts w:ascii="Book Antiqua" w:eastAsia="Times New Roman" w:hAnsi="Book Antiqua" w:cs="Arial"/>
          <w:sz w:val="20"/>
          <w:szCs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Malfunction </w:t>
      </w:r>
      <w:r w:rsidRPr="007E5DDE">
        <w:rPr>
          <w:rFonts w:ascii="Book Antiqua" w:eastAsia="Times New Roman" w:hAnsi="Book Antiqua" w:cs="Arial"/>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Monitoring </w:t>
      </w:r>
      <w:r w:rsidRPr="007E5DDE">
        <w:rPr>
          <w:rFonts w:ascii="Book Antiqua" w:eastAsia="Times New Roman" w:hAnsi="Book Antiqua" w:cs="Arial"/>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New affected source </w:t>
      </w:r>
      <w:r w:rsidRPr="007E5DDE">
        <w:rPr>
          <w:rFonts w:ascii="Book Antiqua" w:eastAsia="Times New Roman" w:hAnsi="Book Antiqua" w:cs="Arial"/>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Emission reduction impacts of controlling individual sources versus groups of sources;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Cost effectiveness of controlling individual equipment;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Flexibility to accommodate common control strategies;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Cost/benefits of emissions averaging;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Incentives for pollution prevention;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Feasibility and cost of controlling processes that share common equipment (e.g., product recovery devices);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Feasibility and cost of monitoring;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 Other relevant factors.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New source </w:t>
      </w:r>
      <w:r w:rsidRPr="007E5DDE">
        <w:rPr>
          <w:rFonts w:ascii="Book Antiqua" w:eastAsia="Times New Roman" w:hAnsi="Book Antiqua" w:cs="Arial"/>
          <w:sz w:val="20"/>
          <w:szCs w:val="20"/>
        </w:rPr>
        <w:t>means any affected source the construction or reconstruction of which is commenced after the Administrator first proposes a relevant emission standard under this part establishing an emission standard applicable to such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One-hour period, </w:t>
      </w:r>
      <w:r w:rsidRPr="007E5DDE">
        <w:rPr>
          <w:rFonts w:ascii="Book Antiqua" w:eastAsia="Times New Roman" w:hAnsi="Book Antiqua" w:cs="Arial"/>
          <w:sz w:val="20"/>
          <w:szCs w:val="20"/>
        </w:rPr>
        <w:t>unless otherwise defined in an applicable subpart, means any 60-minute period commencing on the hour.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Opacity </w:t>
      </w:r>
      <w:r w:rsidRPr="007E5DDE">
        <w:rPr>
          <w:rFonts w:ascii="Book Antiqua" w:eastAsia="Times New Roman" w:hAnsi="Book Antiqua" w:cs="Arial"/>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Owner or operator </w:t>
      </w:r>
      <w:r w:rsidRPr="007E5DDE">
        <w:rPr>
          <w:rFonts w:ascii="Book Antiqua" w:eastAsia="Times New Roman" w:hAnsi="Book Antiqua" w:cs="Arial"/>
          <w:sz w:val="20"/>
          <w:szCs w:val="20"/>
        </w:rPr>
        <w:t>means any person who owns, leases, operates, controls, or supervises a stationary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Performance audit </w:t>
      </w:r>
      <w:r w:rsidRPr="007E5DDE">
        <w:rPr>
          <w:rFonts w:ascii="Book Antiqua" w:eastAsia="Times New Roman" w:hAnsi="Book Antiqua" w:cs="Arial"/>
          <w:sz w:val="20"/>
          <w:szCs w:val="20"/>
        </w:rPr>
        <w:t>means a procedure to analyze blind samples, the content of which is known by the Administrator, simultaneously with the analysis of performance test samples in order to provide a measure of test data quality.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Performance evaluation </w:t>
      </w:r>
      <w:r w:rsidRPr="007E5DDE">
        <w:rPr>
          <w:rFonts w:ascii="Book Antiqua" w:eastAsia="Times New Roman" w:hAnsi="Book Antiqua" w:cs="Arial"/>
          <w:sz w:val="20"/>
          <w:szCs w:val="20"/>
        </w:rPr>
        <w:t>means the conduct of relative accuracy testing, calibration error testing, and other measurements used in validating the continuous monitoring system data.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Performance test </w:t>
      </w:r>
      <w:r w:rsidRPr="007E5DDE">
        <w:rPr>
          <w:rFonts w:ascii="Book Antiqua" w:eastAsia="Times New Roman" w:hAnsi="Book Antiqua" w:cs="Arial"/>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Permit modification </w:t>
      </w:r>
      <w:r w:rsidRPr="007E5DDE">
        <w:rPr>
          <w:rFonts w:ascii="Book Antiqua" w:eastAsia="Times New Roman" w:hAnsi="Book Antiqua" w:cs="Arial"/>
          <w:sz w:val="20"/>
          <w:szCs w:val="20"/>
        </w:rPr>
        <w:t>means a change to a title V permit as defined in regulations codified in this chapter to implement title V of the Act (42 U.S.C. 7661).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Permit program </w:t>
      </w:r>
      <w:r w:rsidRPr="007E5DDE">
        <w:rPr>
          <w:rFonts w:ascii="Book Antiqua" w:eastAsia="Times New Roman" w:hAnsi="Book Antiqua" w:cs="Arial"/>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Permit revision </w:t>
      </w:r>
      <w:r w:rsidRPr="007E5DDE">
        <w:rPr>
          <w:rFonts w:ascii="Book Antiqua" w:eastAsia="Times New Roman" w:hAnsi="Book Antiqua" w:cs="Arial"/>
          <w:sz w:val="20"/>
          <w:szCs w:val="20"/>
        </w:rPr>
        <w:t>means any permit modification or administrative permit amendment to a title V permit as defined in regulations codified in this chapter to implement title V of the Act (42 U.S.C. 7661).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Permitting authority </w:t>
      </w:r>
      <w:r w:rsidRPr="007E5DDE">
        <w:rPr>
          <w:rFonts w:ascii="Book Antiqua" w:eastAsia="Times New Roman" w:hAnsi="Book Antiqua" w:cs="Arial"/>
          <w:sz w:val="20"/>
          <w:szCs w:val="20"/>
        </w:rPr>
        <w:t>means: (1) The State air pollution control agency, local agency, other State agency, or other agency authorized by the Administrator to carry out a permit program under part 70 of this chapter;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Administrator, in the case of EPA-implemented permit programs under title V of the Act (42 U.S.C. 7661).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Pollution Prevention </w:t>
      </w:r>
      <w:r w:rsidRPr="007E5DDE">
        <w:rPr>
          <w:rFonts w:ascii="Book Antiqua" w:eastAsia="Times New Roman" w:hAnsi="Book Antiqua" w:cs="Arial"/>
          <w:sz w:val="20"/>
          <w:szCs w:val="20"/>
        </w:rPr>
        <w:t xml:space="preserve">means </w:t>
      </w:r>
      <w:r w:rsidRPr="007E5DDE">
        <w:rPr>
          <w:rFonts w:ascii="Book Antiqua" w:eastAsia="Times New Roman" w:hAnsi="Book Antiqua" w:cs="Arial"/>
          <w:i/>
          <w:iCs/>
          <w:sz w:val="20"/>
          <w:szCs w:val="20"/>
        </w:rPr>
        <w:t xml:space="preserve">source reduction </w:t>
      </w:r>
      <w:r w:rsidRPr="007E5DDE">
        <w:rPr>
          <w:rFonts w:ascii="Book Antiqua" w:eastAsia="Times New Roman" w:hAnsi="Book Antiqua" w:cs="Arial"/>
          <w:sz w:val="20"/>
          <w:szCs w:val="20"/>
        </w:rPr>
        <w:t>as defined under the Pollution Prevention Act (42 U.S.C. 13101–13109). The definition is as follows: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Source reduction </w:t>
      </w:r>
      <w:r w:rsidRPr="007E5DDE">
        <w:rPr>
          <w:rFonts w:ascii="Book Antiqua" w:eastAsia="Times New Roman" w:hAnsi="Book Antiqua" w:cs="Arial"/>
          <w:sz w:val="20"/>
          <w:szCs w:val="20"/>
        </w:rPr>
        <w:t>is any practice that: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Reduces the amount of any hazardous substance, pollutant, or contaminant entering any waste stream or otherwise released into the environment (including fugitive emissions) prior to recycling, treatment, or disposal;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Reduces the hazards to public health and the environment associated with the release of such substances, pollutants, or contaminants.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The term </w:t>
      </w:r>
      <w:r w:rsidRPr="007E5DDE">
        <w:rPr>
          <w:rFonts w:ascii="Book Antiqua" w:eastAsia="Times New Roman" w:hAnsi="Book Antiqua" w:cs="Arial"/>
          <w:i/>
          <w:iCs/>
          <w:sz w:val="20"/>
          <w:szCs w:val="20"/>
        </w:rPr>
        <w:t xml:space="preserve">source reduction </w:t>
      </w:r>
      <w:r w:rsidRPr="007E5DDE">
        <w:rPr>
          <w:rFonts w:ascii="Book Antiqua" w:eastAsia="Times New Roman" w:hAnsi="Book Antiqua" w:cs="Arial"/>
          <w:sz w:val="20"/>
          <w:szCs w:val="20"/>
        </w:rPr>
        <w:t>includes equipment or technology modifications, process or procedure modifications, reformulation or redesign of products, substitution of raw materials, and improvements in housekeeping, maintenance, training, or inventory control.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The term </w:t>
      </w:r>
      <w:r w:rsidRPr="007E5DDE">
        <w:rPr>
          <w:rFonts w:ascii="Book Antiqua" w:eastAsia="Times New Roman" w:hAnsi="Book Antiqua" w:cs="Arial"/>
          <w:i/>
          <w:iCs/>
          <w:sz w:val="20"/>
          <w:szCs w:val="20"/>
        </w:rPr>
        <w:t xml:space="preserve">source reduction </w:t>
      </w:r>
      <w:r w:rsidRPr="007E5DDE">
        <w:rPr>
          <w:rFonts w:ascii="Book Antiqua" w:eastAsia="Times New Roman" w:hAnsi="Book Antiqua" w:cs="Arial"/>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Potential to emit </w:t>
      </w:r>
      <w:r w:rsidRPr="007E5DDE">
        <w:rPr>
          <w:rFonts w:ascii="Book Antiqua" w:eastAsia="Times New Roman" w:hAnsi="Book Antiqua" w:cs="Arial"/>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Reconstruction, </w:t>
      </w:r>
      <w:r w:rsidRPr="007E5DDE">
        <w:rPr>
          <w:rFonts w:ascii="Book Antiqua" w:eastAsia="Times New Roman" w:hAnsi="Book Antiqua" w:cs="Arial"/>
          <w:sz w:val="20"/>
          <w:szCs w:val="20"/>
        </w:rPr>
        <w:t>unless otherwise defined in a relevant standard, means the replacement of components of an affected or a previously nonaffected source to such an extent that: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The fixed capital cost of the new components exceeds 50 percent of the fixed capital cost that would be required to construct a comparable new source;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Regulation promulgation schedule </w:t>
      </w:r>
      <w:r w:rsidRPr="007E5DDE">
        <w:rPr>
          <w:rFonts w:ascii="Book Antiqua" w:eastAsia="Times New Roman" w:hAnsi="Book Antiqua" w:cs="Arial"/>
          <w:sz w:val="20"/>
          <w:szCs w:val="20"/>
        </w:rPr>
        <w:t>means the schedule for the promulgation of emission standards under this part, established by the Administrator pursuant to section 112(e) of the Act and published in the  Federal Register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Relevant standard </w:t>
      </w:r>
      <w:r w:rsidRPr="007E5DDE">
        <w:rPr>
          <w:rFonts w:ascii="Book Antiqua" w:eastAsia="Times New Roman" w:hAnsi="Book Antiqua" w:cs="Arial"/>
          <w:sz w:val="20"/>
          <w:szCs w:val="20"/>
        </w:rPr>
        <w:t>means: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An emission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An alternative emission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An alternative emission limitation;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Responsible official </w:t>
      </w:r>
      <w:r w:rsidRPr="007E5DDE">
        <w:rPr>
          <w:rFonts w:ascii="Book Antiqua" w:eastAsia="Times New Roman" w:hAnsi="Book Antiqua" w:cs="Arial"/>
          <w:sz w:val="20"/>
          <w:szCs w:val="20"/>
        </w:rPr>
        <w:t>means one of the following: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facilities employ more than 250 persons or have gross annual sales or expenditures exceeding $25 million (in second quarter 1980 dollars);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delegation of authority to such representative is approved in advance by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For a partnership or sole proprietorship: a general partner or the proprietor, respectively.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For affected sources (as defined in this part) applying for or subject to a title V permit: “responsible official” shall have the same meaning as defined in part 70 or Federal title V regulations in this chapter (42 U.S.C. 7661), whichever is applicable.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Run </w:t>
      </w:r>
      <w:r w:rsidRPr="007E5DDE">
        <w:rPr>
          <w:rFonts w:ascii="Book Antiqua" w:eastAsia="Times New Roman" w:hAnsi="Book Antiqua" w:cs="Arial"/>
          <w:sz w:val="20"/>
          <w:szCs w:val="20"/>
        </w:rPr>
        <w:t>means one of a series of emission or other measurements needed to determine emissions for a representative operating period or cycle as specified in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Shutdown </w:t>
      </w:r>
      <w:r w:rsidRPr="007E5DDE">
        <w:rPr>
          <w:rFonts w:ascii="Book Antiqua" w:eastAsia="Times New Roman" w:hAnsi="Book Antiqua" w:cs="Arial"/>
          <w:sz w:val="20"/>
          <w:szCs w:val="20"/>
        </w:rPr>
        <w:t>means the cessation of operation of an affected source or portion of an affected source for any purpose.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Six-minute period </w:t>
      </w:r>
      <w:r w:rsidRPr="007E5DDE">
        <w:rPr>
          <w:rFonts w:ascii="Book Antiqua" w:eastAsia="Times New Roman" w:hAnsi="Book Antiqua" w:cs="Arial"/>
          <w:sz w:val="20"/>
          <w:szCs w:val="20"/>
        </w:rPr>
        <w:t>means, with respect to opacity determinations, any one of the 10 equal parts of a 1-hour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Source at a Performance Track member facility </w:t>
      </w:r>
      <w:r w:rsidRPr="007E5DDE">
        <w:rPr>
          <w:rFonts w:ascii="Book Antiqua" w:eastAsia="Times New Roman" w:hAnsi="Book Antiqua" w:cs="Arial"/>
          <w:sz w:val="20"/>
          <w:szCs w:val="20"/>
        </w:rPr>
        <w:t xml:space="preserve">means a major or area source located at a facility which has been accepted by EPA for membership in the Performance Track Program (as described at </w:t>
      </w:r>
      <w:r w:rsidRPr="007E5DDE">
        <w:rPr>
          <w:rFonts w:ascii="Book Antiqua" w:eastAsia="Times New Roman" w:hAnsi="Book Antiqua" w:cs="Arial"/>
          <w:i/>
          <w:iCs/>
          <w:sz w:val="20"/>
          <w:szCs w:val="20"/>
        </w:rPr>
        <w:t xml:space="preserve">www.epa.gov/PerformanceTrack </w:t>
      </w:r>
      <w:r w:rsidRPr="007E5DDE">
        <w:rPr>
          <w:rFonts w:ascii="Book Antiqua" w:eastAsia="Times New Roman" w:hAnsi="Book Antiqua" w:cs="Arial"/>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Standard conditions </w:t>
      </w:r>
      <w:r w:rsidRPr="007E5DDE">
        <w:rPr>
          <w:rFonts w:ascii="Book Antiqua" w:eastAsia="Times New Roman" w:hAnsi="Book Antiqua" w:cs="Arial"/>
          <w:sz w:val="20"/>
          <w:szCs w:val="20"/>
        </w:rPr>
        <w:t>means a temperature of 293 K (68 °F) and a pressure of 101.3 kilopascals (29.92 in. Hg).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Startup </w:t>
      </w:r>
      <w:r w:rsidRPr="007E5DDE">
        <w:rPr>
          <w:rFonts w:ascii="Book Antiqua" w:eastAsia="Times New Roman" w:hAnsi="Book Antiqua" w:cs="Arial"/>
          <w:sz w:val="20"/>
          <w:szCs w:val="20"/>
        </w:rPr>
        <w:t>means the setting in operation of an affected source or portion of an affected source for any purpose.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State </w:t>
      </w:r>
      <w:r w:rsidRPr="007E5DDE">
        <w:rPr>
          <w:rFonts w:ascii="Book Antiqua" w:eastAsia="Times New Roman" w:hAnsi="Book Antiqua" w:cs="Arial"/>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Stationary source </w:t>
      </w:r>
      <w:r w:rsidRPr="007E5DDE">
        <w:rPr>
          <w:rFonts w:ascii="Book Antiqua" w:eastAsia="Times New Roman" w:hAnsi="Book Antiqua" w:cs="Arial"/>
          <w:sz w:val="20"/>
          <w:szCs w:val="20"/>
        </w:rPr>
        <w:t>means any building, structure, facility, or installation which emits or may emit any air pollutant.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Test method </w:t>
      </w:r>
      <w:r w:rsidRPr="007E5DDE">
        <w:rPr>
          <w:rFonts w:ascii="Book Antiqua" w:eastAsia="Times New Roman" w:hAnsi="Book Antiqua" w:cs="Arial"/>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Title V permit </w:t>
      </w:r>
      <w:r w:rsidRPr="007E5DDE">
        <w:rPr>
          <w:rFonts w:ascii="Book Antiqua" w:eastAsia="Times New Roman" w:hAnsi="Book Antiqua" w:cs="Arial"/>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Visible emission </w:t>
      </w:r>
      <w:r w:rsidRPr="007E5DDE">
        <w:rPr>
          <w:rFonts w:ascii="Book Antiqua" w:eastAsia="Times New Roman" w:hAnsi="Book Antiqua" w:cs="Arial"/>
          <w:sz w:val="20"/>
          <w:szCs w:val="20"/>
        </w:rPr>
        <w:t>means the observation of an emission of opacity or optical density above the threshold of vision.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Working day </w:t>
      </w:r>
      <w:r w:rsidRPr="007E5DDE">
        <w:rPr>
          <w:rFonts w:ascii="Book Antiqua" w:eastAsia="Times New Roman" w:hAnsi="Book Antiqua" w:cs="Arial"/>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67 FR 16596, Apr. 5, 2002; 68 FR 32600, May 30, 2003; 69 FR 21752, Apr. 22, 2004; 72 FR 27443, May 16, 2007]</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63.3   Units and abbreviations.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Used in this part are abbreviations and symbols of units of measure. These are defined as follows: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System International (SI) units of measure: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 ampere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 = 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Hz = hertz</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J = joule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 = degree Kelvin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kg = kilogram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l = liter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 = 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w:t>
      </w:r>
      <w:r w:rsidRPr="007E5DDE">
        <w:rPr>
          <w:rFonts w:ascii="Book Antiqua" w:eastAsia="Times New Roman" w:hAnsi="Book Antiqua" w:cs="Arial"/>
          <w:sz w:val="20"/>
          <w:szCs w:val="20"/>
          <w:vertAlign w:val="superscript"/>
        </w:rPr>
        <w:t>3</w:t>
      </w:r>
      <w:r w:rsidRPr="007E5DDE">
        <w:rPr>
          <w:rFonts w:ascii="Book Antiqua" w:eastAsia="Times New Roman" w:hAnsi="Book Antiqua" w:cs="Arial"/>
          <w:sz w:val="20"/>
          <w:szCs w:val="20"/>
        </w:rPr>
        <w:t xml:space="preserve"> = cubic 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mg = milligram = 10</w:t>
      </w:r>
      <w:r w:rsidRPr="007E5DDE">
        <w:rPr>
          <w:rFonts w:ascii="Book Antiqua" w:eastAsia="Times New Roman" w:hAnsi="Book Antiqua" w:cs="Arial"/>
          <w:sz w:val="20"/>
          <w:szCs w:val="20"/>
          <w:vertAlign w:val="superscript"/>
        </w:rPr>
        <w:t>−3</w:t>
      </w:r>
      <w:r w:rsidRPr="007E5DDE">
        <w:rPr>
          <w:rFonts w:ascii="Book Antiqua" w:eastAsia="Times New Roman" w:hAnsi="Book Antiqua" w:cs="Arial"/>
          <w:sz w:val="20"/>
          <w:szCs w:val="20"/>
        </w:rPr>
        <w:t>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ml = milliliter = 10</w:t>
      </w:r>
      <w:r w:rsidRPr="007E5DDE">
        <w:rPr>
          <w:rFonts w:ascii="Book Antiqua" w:eastAsia="Times New Roman" w:hAnsi="Book Antiqua" w:cs="Arial"/>
          <w:sz w:val="20"/>
          <w:szCs w:val="20"/>
          <w:vertAlign w:val="superscript"/>
        </w:rPr>
        <w:t>−3</w:t>
      </w:r>
      <w:r w:rsidRPr="007E5DDE">
        <w:rPr>
          <w:rFonts w:ascii="Book Antiqua" w:eastAsia="Times New Roman" w:hAnsi="Book Antiqua" w:cs="Arial"/>
          <w:sz w:val="20"/>
          <w:szCs w:val="20"/>
        </w:rPr>
        <w:t>liter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mm = millimeter = 10</w:t>
      </w:r>
      <w:r w:rsidRPr="007E5DDE">
        <w:rPr>
          <w:rFonts w:ascii="Book Antiqua" w:eastAsia="Times New Roman" w:hAnsi="Book Antiqua" w:cs="Arial"/>
          <w:sz w:val="20"/>
          <w:szCs w:val="20"/>
          <w:vertAlign w:val="superscript"/>
        </w:rPr>
        <w:t>−3</w:t>
      </w:r>
      <w:r w:rsidRPr="007E5DDE">
        <w:rPr>
          <w:rFonts w:ascii="Book Antiqua" w:eastAsia="Times New Roman" w:hAnsi="Book Antiqua" w:cs="Arial"/>
          <w:sz w:val="20"/>
          <w:szCs w:val="20"/>
        </w:rPr>
        <w:t>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Mg = megagram = 10</w:t>
      </w:r>
      <w:r w:rsidRPr="007E5DDE">
        <w:rPr>
          <w:rFonts w:ascii="Book Antiqua" w:eastAsia="Times New Roman" w:hAnsi="Book Antiqua" w:cs="Arial"/>
          <w:sz w:val="20"/>
          <w:szCs w:val="20"/>
          <w:vertAlign w:val="superscript"/>
        </w:rPr>
        <w:t>6</w:t>
      </w:r>
      <w:r w:rsidRPr="007E5DDE">
        <w:rPr>
          <w:rFonts w:ascii="Book Antiqua" w:eastAsia="Times New Roman" w:hAnsi="Book Antiqua" w:cs="Arial"/>
          <w:sz w:val="20"/>
          <w:szCs w:val="20"/>
        </w:rPr>
        <w:t xml:space="preserve"> gram = metric ton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MJ = megajoule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mol = mole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N = newton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ng = nanogram = 10</w:t>
      </w:r>
      <w:r w:rsidRPr="007E5DDE">
        <w:rPr>
          <w:rFonts w:ascii="Book Antiqua" w:eastAsia="Times New Roman" w:hAnsi="Book Antiqua" w:cs="Arial"/>
          <w:sz w:val="20"/>
          <w:szCs w:val="20"/>
          <w:vertAlign w:val="superscript"/>
        </w:rPr>
        <w:t>−9</w:t>
      </w:r>
      <w:r w:rsidRPr="007E5DDE">
        <w:rPr>
          <w:rFonts w:ascii="Book Antiqua" w:eastAsia="Times New Roman" w:hAnsi="Book Antiqua" w:cs="Arial"/>
          <w:sz w:val="20"/>
          <w:szCs w:val="20"/>
        </w:rPr>
        <w:t>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nm = nanometer = 10</w:t>
      </w:r>
      <w:r w:rsidRPr="007E5DDE">
        <w:rPr>
          <w:rFonts w:ascii="Book Antiqua" w:eastAsia="Times New Roman" w:hAnsi="Book Antiqua" w:cs="Arial"/>
          <w:sz w:val="20"/>
          <w:szCs w:val="20"/>
          <w:vertAlign w:val="superscript"/>
        </w:rPr>
        <w:t>−9</w:t>
      </w:r>
      <w:r w:rsidRPr="007E5DDE">
        <w:rPr>
          <w:rFonts w:ascii="Book Antiqua" w:eastAsia="Times New Roman" w:hAnsi="Book Antiqua" w:cs="Arial"/>
          <w:sz w:val="20"/>
          <w:szCs w:val="20"/>
        </w:rPr>
        <w:t>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Pa = pascal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 = second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 volt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W = watt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Ω = ohm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µg = microgram = 10</w:t>
      </w:r>
      <w:r w:rsidRPr="007E5DDE">
        <w:rPr>
          <w:rFonts w:ascii="Book Antiqua" w:eastAsia="Times New Roman" w:hAnsi="Book Antiqua" w:cs="Arial"/>
          <w:sz w:val="20"/>
          <w:szCs w:val="20"/>
          <w:vertAlign w:val="superscript"/>
        </w:rPr>
        <w:t>−6</w:t>
      </w:r>
      <w:r w:rsidRPr="007E5DDE">
        <w:rPr>
          <w:rFonts w:ascii="Book Antiqua" w:eastAsia="Times New Roman" w:hAnsi="Book Antiqua" w:cs="Arial"/>
          <w:sz w:val="20"/>
          <w:szCs w:val="20"/>
        </w:rPr>
        <w:t>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µl = microliter = 10</w:t>
      </w:r>
      <w:r w:rsidRPr="007E5DDE">
        <w:rPr>
          <w:rFonts w:ascii="Book Antiqua" w:eastAsia="Times New Roman" w:hAnsi="Book Antiqua" w:cs="Arial"/>
          <w:sz w:val="20"/>
          <w:szCs w:val="20"/>
          <w:vertAlign w:val="superscript"/>
        </w:rPr>
        <w:t>−6</w:t>
      </w:r>
      <w:r w:rsidRPr="007E5DDE">
        <w:rPr>
          <w:rFonts w:ascii="Book Antiqua" w:eastAsia="Times New Roman" w:hAnsi="Book Antiqua" w:cs="Arial"/>
          <w:sz w:val="20"/>
          <w:szCs w:val="20"/>
        </w:rPr>
        <w:t>liter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Other units of measure: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Btu = British thermal unit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 degree Celsius (centigrade)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cal = calorie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cfm = cubic feet per minute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cc = cubic centimeter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cu ft = cubic feet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 day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dcf = dry cubic feet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dcm = dry cubic 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dscf = dry cubic feet at standard conditions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dscm = dry cubic meter at standard conditions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eq = equivalent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°F degree Fahrenheit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ft = feet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ft</w:t>
      </w:r>
      <w:r w:rsidRPr="007E5DDE">
        <w:rPr>
          <w:rFonts w:ascii="Book Antiqua" w:eastAsia="Times New Roman" w:hAnsi="Book Antiqua" w:cs="Arial"/>
          <w:sz w:val="20"/>
          <w:szCs w:val="20"/>
          <w:vertAlign w:val="superscript"/>
        </w:rPr>
        <w:t>2</w:t>
      </w:r>
      <w:r w:rsidRPr="007E5DDE">
        <w:rPr>
          <w:rFonts w:ascii="Book Antiqua" w:eastAsia="Times New Roman" w:hAnsi="Book Antiqua" w:cs="Arial"/>
          <w:sz w:val="20"/>
          <w:szCs w:val="20"/>
        </w:rPr>
        <w:t xml:space="preserve"> = square feet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ft</w:t>
      </w:r>
      <w:r w:rsidRPr="007E5DDE">
        <w:rPr>
          <w:rFonts w:ascii="Book Antiqua" w:eastAsia="Times New Roman" w:hAnsi="Book Antiqua" w:cs="Arial"/>
          <w:sz w:val="20"/>
          <w:szCs w:val="20"/>
          <w:vertAlign w:val="superscript"/>
        </w:rPr>
        <w:t>3</w:t>
      </w:r>
      <w:r w:rsidRPr="007E5DDE">
        <w:rPr>
          <w:rFonts w:ascii="Book Antiqua" w:eastAsia="Times New Roman" w:hAnsi="Book Antiqua" w:cs="Arial"/>
          <w:sz w:val="20"/>
          <w:szCs w:val="20"/>
        </w:rPr>
        <w:t xml:space="preserve"> = cubic feet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gal = gallon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gr = grain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g-eq = gram equivalent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g-mole = gram mole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hr = hour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in. = inch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in. H</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 = inches of water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 = 1,000</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kcal = kilocalorie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lb = pound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lpm = liter per minute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meq = milliequivalent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min = minute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MW = molecular weight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oz = ounces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ppb = parts per billion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ppbw = parts per billion by weight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ppbv = parts per billion by volume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ppm = parts per million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ppmw = parts per million by weight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ppmv = parts per million by volume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psia = pounds per square inch absolute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psig = pounds per square inch gage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°R = degree Rankine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scf = cubic feet at standard conditions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scfh = cubic feet at standard conditions per hour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scm = cubic meter at standard conditions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scmm = cubic meter at standard conditions per minute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sec = second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sq ft = square feet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std = at standard conditions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v/v = volume per volume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yd</w:t>
      </w:r>
      <w:r w:rsidRPr="007E5DDE">
        <w:rPr>
          <w:rFonts w:ascii="Book Antiqua" w:eastAsia="Times New Roman" w:hAnsi="Book Antiqua" w:cs="Arial"/>
          <w:sz w:val="20"/>
          <w:szCs w:val="20"/>
          <w:vertAlign w:val="superscript"/>
        </w:rPr>
        <w:t>2</w:t>
      </w:r>
      <w:r w:rsidRPr="007E5DDE">
        <w:rPr>
          <w:rFonts w:ascii="Book Antiqua" w:eastAsia="Times New Roman" w:hAnsi="Book Antiqua" w:cs="Arial"/>
          <w:sz w:val="20"/>
          <w:szCs w:val="20"/>
        </w:rPr>
        <w:t xml:space="preserve"> = square yards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yr = year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Miscellaneous: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act = actual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avg = average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I.D. = inside diameter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 = molar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N = normal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O.D. = outside diameter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 percent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67 FR 16598, Apr. 5, 2002]</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63.4   Prohibited activities and circumvention.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Prohibited activities. </w:t>
      </w:r>
      <w:r w:rsidRPr="007E5DDE">
        <w:rPr>
          <w:rFonts w:ascii="Book Antiqua" w:eastAsia="Times New Roman" w:hAnsi="Book Antiqua" w:cs="Arial"/>
          <w:sz w:val="20"/>
          <w:szCs w:val="20"/>
        </w:rPr>
        <w:t>(1)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No owner or operator subject to the provisions of this part shall fail to keep records, notify, report, or revise reports as required under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(3)–(5)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Circumvention. </w:t>
      </w:r>
      <w:r w:rsidRPr="007E5DDE">
        <w:rPr>
          <w:rFonts w:ascii="Book Antiqua" w:eastAsia="Times New Roman" w:hAnsi="Book Antiqua" w:cs="Arial"/>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The use of diluents to achieve compliance with a relevant standard based on the concentration of a pollutant in the effluent discharged to the atmosphere;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use of gaseous diluents to achieve compliance with a relevant standard for visible emissions;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Fragmentation. </w:t>
      </w:r>
      <w:r w:rsidRPr="007E5DDE">
        <w:rPr>
          <w:rFonts w:ascii="Book Antiqua" w:eastAsia="Times New Roman" w:hAnsi="Book Antiqua" w:cs="Arial"/>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67 FR 16598, Apr. 5, 2002]</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63.5   Preconstruction review and notification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Applicability. </w:t>
      </w:r>
      <w:r w:rsidRPr="007E5DDE">
        <w:rPr>
          <w:rFonts w:ascii="Book Antiqua" w:eastAsia="Times New Roman" w:hAnsi="Book Antiqua" w:cs="Arial"/>
          <w:sz w:val="20"/>
          <w:szCs w:val="20"/>
        </w:rPr>
        <w:t>(1)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Requirements for existing, newly constructed, and reconstructed sources. </w:t>
      </w:r>
      <w:r w:rsidRPr="007E5DDE">
        <w:rPr>
          <w:rFonts w:ascii="Book Antiqua" w:eastAsia="Times New Roman" w:hAnsi="Book Antiqua" w:cs="Arial"/>
          <w:sz w:val="20"/>
          <w:szCs w:val="20"/>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Construct a new affected source that is major-emitting and subject to such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Reconstruct an affected source that is major-emitting and subject to such standard;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Reconstruct a major source such that the source becomes an affected source that is major-emitting and subject to the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(d) </w:t>
      </w:r>
      <w:r w:rsidRPr="007E5DDE">
        <w:rPr>
          <w:rFonts w:ascii="Book Antiqua" w:eastAsia="Times New Roman" w:hAnsi="Book Antiqua" w:cs="Arial"/>
          <w:i/>
          <w:iCs/>
          <w:sz w:val="20"/>
          <w:szCs w:val="20"/>
        </w:rPr>
        <w:t xml:space="preserve">Application for approval of construction or reconstruction. </w:t>
      </w:r>
      <w:r w:rsidRPr="007E5DDE">
        <w:rPr>
          <w:rFonts w:ascii="Book Antiqua" w:eastAsia="Times New Roman" w:hAnsi="Book Antiqua" w:cs="Arial"/>
          <w:sz w:val="20"/>
          <w:szCs w:val="20"/>
        </w:rPr>
        <w:t>The provisions of this paragraph implement section 112(i)(1)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General application requirements. </w:t>
      </w:r>
      <w:r w:rsidRPr="007E5DDE">
        <w:rPr>
          <w:rFonts w:ascii="Book Antiqua" w:eastAsia="Times New Roman" w:hAnsi="Book Antiqua" w:cs="Arial"/>
          <w:sz w:val="20"/>
          <w:szCs w:val="20"/>
        </w:rPr>
        <w:t>(i)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 separate application shall be submitted for each construction or reconstruction. Each application for approval of construction or reconstruction shall include at a minimum: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applicant's name and address;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address (i.e., physical location) or proposed address of the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An identification of the relevant standard that is the basis of the application;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 The expected date of the beginning of actual construction or reconstruction;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(F) The expected completion date of the construction or reconstruction;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(J) Other information as specified in paragraphs (d)(2) and (d)(3)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Application for approval of construction. </w:t>
      </w:r>
      <w:r w:rsidRPr="007E5DDE">
        <w:rPr>
          <w:rFonts w:ascii="Book Antiqua" w:eastAsia="Times New Roman" w:hAnsi="Book Antiqua" w:cs="Arial"/>
          <w:sz w:val="20"/>
          <w:szCs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Application for approval of reconstruction. </w:t>
      </w:r>
      <w:r w:rsidRPr="007E5DDE">
        <w:rPr>
          <w:rFonts w:ascii="Book Antiqua" w:eastAsia="Times New Roman" w:hAnsi="Book Antiqua" w:cs="Arial"/>
          <w:sz w:val="20"/>
          <w:szCs w:val="20"/>
        </w:rPr>
        <w:t>Each application for approval of reconstruction shall include, in addition to the information required in paragraph (d)(1)(ii)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 brief description of the affected source and the components that are to be replaced;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An estimate of the fixed capital cost of the replacements and of constructing a comparable entirely new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estimated life of the affected source after the replacements;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Additional information. </w:t>
      </w:r>
      <w:r w:rsidRPr="007E5DDE">
        <w:rPr>
          <w:rFonts w:ascii="Book Antiqua" w:eastAsia="Times New Roman" w:hAnsi="Book Antiqua" w:cs="Arial"/>
          <w:sz w:val="20"/>
          <w:szCs w:val="20"/>
        </w:rPr>
        <w:t>The Administrator may request additional relevant information after the submittal of an application for approval of construction or reconstruction.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(e) </w:t>
      </w:r>
      <w:r w:rsidRPr="007E5DDE">
        <w:rPr>
          <w:rFonts w:ascii="Book Antiqua" w:eastAsia="Times New Roman" w:hAnsi="Book Antiqua" w:cs="Arial"/>
          <w:i/>
          <w:iCs/>
          <w:sz w:val="20"/>
          <w:szCs w:val="20"/>
        </w:rPr>
        <w:t xml:space="preserve">Approval of construction or reconstruction. </w:t>
      </w:r>
      <w:r w:rsidRPr="007E5DDE">
        <w:rPr>
          <w:rFonts w:ascii="Book Antiqua" w:eastAsia="Times New Roman" w:hAnsi="Book Antiqua" w:cs="Arial"/>
          <w:sz w:val="20"/>
          <w:szCs w:val="20"/>
        </w:rPr>
        <w:t>(1)(i)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In addition, in the case of reconstruction, the Administrator's determination under this paragraph will be based 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fixed capital cost of the replacements in comparison to the fixed capital cost that would be required to construct a comparable entirely new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estimated life of the source after the replacements compared to the life of a comparable entirely new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extent to which the components being replaced cause or contribute to the emissions from the source;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Any economic or technical limitations on compliance with relevant standards that are inherent in the proposed replacements.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Before denying any application for approval of construction or reconstruction, the Administrator will notify the applicant of the Administrator's intention to issue the denial together with—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Notice of the information and findings on which the intended denial is based;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Notice of opportunity for the applicant to present, in writing, within 30 calendar days after he/she is notified of the intended denial, additional information or arguments to the Administrator to enable further action on the application.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Neither the submission of an application for approval nor the Administrator's approval of construction or reconstruction shall—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Relieve an owner or operator of legal responsibility for compliance with any applicable provisions of this part or with any other applicable Federal, State, or local requirement;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Prevent the Administrator from implementing or enforcing this part or taking any other action under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(f) </w:t>
      </w:r>
      <w:r w:rsidRPr="007E5DDE">
        <w:rPr>
          <w:rFonts w:ascii="Book Antiqua" w:eastAsia="Times New Roman" w:hAnsi="Book Antiqua" w:cs="Arial"/>
          <w:i/>
          <w:iCs/>
          <w:sz w:val="20"/>
          <w:szCs w:val="20"/>
        </w:rPr>
        <w:t xml:space="preserve">Approval of construction or reconstruction based on prior State preconstruction review. </w:t>
      </w:r>
      <w:r w:rsidRPr="007E5DDE">
        <w:rPr>
          <w:rFonts w:ascii="Book Antiqua" w:eastAsia="Times New Roman" w:hAnsi="Book Antiqua" w:cs="Arial"/>
          <w:sz w:val="20"/>
          <w:szCs w:val="20"/>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Provide a statement from the State or other evidence (such as State regulations) that it considered the factors specified in paragraph (e)(1)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67 FR 16598, Apr. 5, 2002]</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63.6   Compliance with standards and maintenance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Applicability. </w:t>
      </w:r>
      <w:r w:rsidRPr="007E5DDE">
        <w:rPr>
          <w:rFonts w:ascii="Book Antiqua" w:eastAsia="Times New Roman" w:hAnsi="Book Antiqua" w:cs="Arial"/>
          <w:sz w:val="20"/>
          <w:szCs w:val="20"/>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Administrator (or a State with an approved permit program) has granted an extension of compliance consistent with paragraph (i) of this section;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President has granted an exemption from compliance with any relevant standard in accordance with section 112(i)(4)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Compliance dates for new and reconstructed sources. </w:t>
      </w:r>
      <w:r w:rsidRPr="007E5DDE">
        <w:rPr>
          <w:rFonts w:ascii="Book Antiqua" w:eastAsia="Times New Roman" w:hAnsi="Book Antiqua" w:cs="Arial"/>
          <w:sz w:val="20"/>
          <w:szCs w:val="20"/>
        </w:rPr>
        <w:t>(1)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owner or operator complies with the standard as proposed during the 3-year period immediately after the effective date.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The owner or operator of a new source that is subject to the compliance requirements of paragraph (b)(3) or (4) of this section must notify the Administrator in accordance with §63.9(d)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Compliance dates for existing sources. </w:t>
      </w:r>
      <w:r w:rsidRPr="007E5DDE">
        <w:rPr>
          <w:rFonts w:ascii="Book Antiqua" w:eastAsia="Times New Roman" w:hAnsi="Book Antiqua" w:cs="Arial"/>
          <w:sz w:val="20"/>
          <w:szCs w:val="20"/>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(3)–(4)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(e) </w:t>
      </w:r>
      <w:r w:rsidRPr="007E5DDE">
        <w:rPr>
          <w:rFonts w:ascii="Book Antiqua" w:eastAsia="Times New Roman" w:hAnsi="Book Antiqua" w:cs="Arial"/>
          <w:i/>
          <w:iCs/>
          <w:sz w:val="20"/>
          <w:szCs w:val="20"/>
        </w:rPr>
        <w:t xml:space="preserve">Operation and maintenance requirements. </w:t>
      </w:r>
      <w:r w:rsidRPr="007E5DDE">
        <w:rPr>
          <w:rFonts w:ascii="Book Antiqua" w:eastAsia="Times New Roman" w:hAnsi="Book Antiqua" w:cs="Arial"/>
          <w:sz w:val="20"/>
          <w:szCs w:val="20"/>
        </w:rPr>
        <w:t>(1)(i)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Operation and maintenance requirements established pursuant to section 112 of the Act are enforceable independent of emissions limitations or other requirements in relevant standards.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Startup, shutdown, and malfunction plan. </w:t>
      </w:r>
      <w:r w:rsidRPr="007E5DDE">
        <w:rPr>
          <w:rFonts w:ascii="Book Antiqua" w:eastAsia="Times New Roman" w:hAnsi="Book Antiqua" w:cs="Arial"/>
          <w:sz w:val="20"/>
          <w:szCs w:val="20"/>
        </w:rPr>
        <w:t>(i)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Ensure that owners or operators are prepared to correct malfunctions as soon as practicable after their occurrence in order to minimize excess emissions of hazardous air pollutants;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Reduce the reporting burden associated with periods of startup, shutdown, and malfunction (including corrective action taken to restore malfunctioning process and air pollution control equipment to its normal or usual manner of operation).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Does not address a startup, shutdown, or malfunction event that has occurred;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Does not provide adequate procedures for correcting malfunctioning process and/or air pollution control and monitoring equipment as quickly as practicable;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Includes an event that does not meet the definition of startup, shutdown, or malfunction listed in §63.2.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(f) </w:t>
      </w:r>
      <w:r w:rsidRPr="007E5DDE">
        <w:rPr>
          <w:rFonts w:ascii="Book Antiqua" w:eastAsia="Times New Roman" w:hAnsi="Book Antiqua" w:cs="Arial"/>
          <w:i/>
          <w:iCs/>
          <w:sz w:val="20"/>
          <w:szCs w:val="20"/>
        </w:rPr>
        <w:t xml:space="preserve">Compliance with nonopacity emission standards </w:t>
      </w: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Applicability. </w:t>
      </w:r>
      <w:r w:rsidRPr="007E5DDE">
        <w:rPr>
          <w:rFonts w:ascii="Book Antiqua" w:eastAsia="Times New Roman" w:hAnsi="Book Antiqua" w:cs="Arial"/>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Methods for determining compliance. </w:t>
      </w:r>
      <w:r w:rsidRPr="007E5DDE">
        <w:rPr>
          <w:rFonts w:ascii="Book Antiqua" w:eastAsia="Times New Roman" w:hAnsi="Book Antiqua" w:cs="Arial"/>
          <w:sz w:val="20"/>
          <w:szCs w:val="20"/>
        </w:rPr>
        <w:t>(i) The Administrator will determine compliance with nonopacity emission standards in this part based on the results of performance tests conducted according to the procedures in §63.7, unless otherwise specified in an applicable subpart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If an affected source conducts performance testing at startup to obtain an operating permit in the State in which the source is located, the results of such testing may be used to demonstrate compliance with a relevant standard if—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performance test was conducted within a reasonable amount of time before an initial performance test is required to be conducted under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performance test was conducted under representative operating conditions for the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performance test was conducted and the resulting data were reduced using EPA-approved test methods and procedures, as specified in §63.7(e) of this subpart;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The performance test was appropriately quality-assured, as specified in §63.7(c).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Administrator will determine compliance with design, equipment, work practice, or operational emission standards in this part by review of records, inspection of the source, and other procedures specified in applicable subparts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Finding of compliance. </w:t>
      </w:r>
      <w:r w:rsidRPr="007E5DDE">
        <w:rPr>
          <w:rFonts w:ascii="Book Antiqua" w:eastAsia="Times New Roman" w:hAnsi="Book Antiqua" w:cs="Arial"/>
          <w:sz w:val="20"/>
          <w:szCs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(g) </w:t>
      </w:r>
      <w:r w:rsidRPr="007E5DDE">
        <w:rPr>
          <w:rFonts w:ascii="Book Antiqua" w:eastAsia="Times New Roman" w:hAnsi="Book Antiqua" w:cs="Arial"/>
          <w:i/>
          <w:iCs/>
          <w:sz w:val="20"/>
          <w:szCs w:val="20"/>
        </w:rPr>
        <w:t xml:space="preserve">Use of an alternative nonopacity emission standard. </w:t>
      </w:r>
      <w:r w:rsidRPr="007E5DDE">
        <w:rPr>
          <w:rFonts w:ascii="Book Antiqua" w:eastAsia="Times New Roman" w:hAnsi="Book Antiqua" w:cs="Arial"/>
          <w:sz w:val="20"/>
          <w:szCs w:val="20"/>
        </w:rPr>
        <w:t>(1)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The Administrator may establish general procedures in an applicable subpart that accomplish the requirements of paragraphs (g)(1) and (g)(2)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(h) </w:t>
      </w:r>
      <w:r w:rsidRPr="007E5DDE">
        <w:rPr>
          <w:rFonts w:ascii="Book Antiqua" w:eastAsia="Times New Roman" w:hAnsi="Book Antiqua" w:cs="Arial"/>
          <w:i/>
          <w:iCs/>
          <w:sz w:val="20"/>
          <w:szCs w:val="20"/>
        </w:rPr>
        <w:t xml:space="preserve">Compliance with opacity and visible emission standards </w:t>
      </w: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Applicability. </w:t>
      </w:r>
      <w:r w:rsidRPr="007E5DDE">
        <w:rPr>
          <w:rFonts w:ascii="Book Antiqua" w:eastAsia="Times New Roman" w:hAnsi="Book Antiqua" w:cs="Arial"/>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Methods for determining compliance. </w:t>
      </w:r>
      <w:r w:rsidRPr="007E5DDE">
        <w:rPr>
          <w:rFonts w:ascii="Book Antiqua" w:eastAsia="Times New Roman" w:hAnsi="Book Antiqua" w:cs="Arial"/>
          <w:sz w:val="20"/>
          <w:szCs w:val="20"/>
        </w:rPr>
        <w:t>(i)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opacity or visible emission test was conducted within a reasonable amount of time before a performance test is required to be conducted under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opacity or visible emission test was conducted under representative operating conditions for the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opacity or visible emission test was conducted and the resulting data were reduced using EPA-approved test methods and procedures, as specified in §63.7(e);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The opacity or visible emission test was appropriately quality-assured, as specified in §63.7(c)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Notification of opacity or visible emission observations. </w:t>
      </w:r>
      <w:r w:rsidRPr="007E5DDE">
        <w:rPr>
          <w:rFonts w:ascii="Book Antiqua" w:eastAsia="Times New Roman" w:hAnsi="Book Antiqua" w:cs="Arial"/>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(5) </w:t>
      </w:r>
      <w:r w:rsidRPr="007E5DDE">
        <w:rPr>
          <w:rFonts w:ascii="Book Antiqua" w:eastAsia="Times New Roman" w:hAnsi="Book Antiqua" w:cs="Arial"/>
          <w:i/>
          <w:iCs/>
          <w:sz w:val="20"/>
          <w:szCs w:val="20"/>
        </w:rPr>
        <w:t xml:space="preserve">Conduct of opacity or visible emission observations. </w:t>
      </w:r>
      <w:r w:rsidRPr="007E5DDE">
        <w:rPr>
          <w:rFonts w:ascii="Book Antiqua" w:eastAsia="Times New Roman" w:hAnsi="Book Antiqua" w:cs="Arial"/>
          <w:sz w:val="20"/>
          <w:szCs w:val="20"/>
        </w:rPr>
        <w:t>When a relevant standard under this part includes an opacity or visible emission standard, the owner or operator of an affected source shall comply with the following: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For the purpose of demonstrating initial compliance, opacity or visible emission observations shall be conducted concurrently with the initial performance test required in §63.7 unless one of the following conditions applies: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Opacity readings of portions of plumes that contain condensed, uncombined water vapor shall not be used for purposes of determining compliance with opacity emission standards.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(6) </w:t>
      </w:r>
      <w:r w:rsidRPr="007E5DDE">
        <w:rPr>
          <w:rFonts w:ascii="Book Antiqua" w:eastAsia="Times New Roman" w:hAnsi="Book Antiqua" w:cs="Arial"/>
          <w:i/>
          <w:iCs/>
          <w:sz w:val="20"/>
          <w:szCs w:val="20"/>
        </w:rPr>
        <w:t xml:space="preserve">Availability of records. </w:t>
      </w:r>
      <w:r w:rsidRPr="007E5DDE">
        <w:rPr>
          <w:rFonts w:ascii="Book Antiqua" w:eastAsia="Times New Roman" w:hAnsi="Book Antiqua" w:cs="Arial"/>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(7) </w:t>
      </w:r>
      <w:r w:rsidRPr="007E5DDE">
        <w:rPr>
          <w:rFonts w:ascii="Book Antiqua" w:eastAsia="Times New Roman" w:hAnsi="Book Antiqua" w:cs="Arial"/>
          <w:i/>
          <w:iCs/>
          <w:sz w:val="20"/>
          <w:szCs w:val="20"/>
        </w:rPr>
        <w:t xml:space="preserve">Use of a continuous opacity monitoring system. </w:t>
      </w:r>
      <w:r w:rsidRPr="007E5DDE">
        <w:rPr>
          <w:rFonts w:ascii="Book Antiqua" w:eastAsia="Times New Roman" w:hAnsi="Book Antiqua" w:cs="Arial"/>
          <w:sz w:val="20"/>
          <w:szCs w:val="20"/>
        </w:rPr>
        <w:t>(i)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For the purposes of determining compliance with the opacity emission standard during a performance test required under §63.7 using COMS data, the COMS data shall be reduced to 6-minute averages over the duration of the mass emission performance test.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(8) </w:t>
      </w:r>
      <w:r w:rsidRPr="007E5DDE">
        <w:rPr>
          <w:rFonts w:ascii="Book Antiqua" w:eastAsia="Times New Roman" w:hAnsi="Book Antiqua" w:cs="Arial"/>
          <w:i/>
          <w:iCs/>
          <w:sz w:val="20"/>
          <w:szCs w:val="20"/>
        </w:rPr>
        <w:t xml:space="preserve">Finding of compliance. </w:t>
      </w:r>
      <w:r w:rsidRPr="007E5DDE">
        <w:rPr>
          <w:rFonts w:ascii="Book Antiqua" w:eastAsia="Times New Roman" w:hAnsi="Book Antiqua" w:cs="Arial"/>
          <w:sz w:val="20"/>
          <w:szCs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(9) </w:t>
      </w:r>
      <w:r w:rsidRPr="007E5DDE">
        <w:rPr>
          <w:rFonts w:ascii="Book Antiqua" w:eastAsia="Times New Roman" w:hAnsi="Book Antiqua" w:cs="Arial"/>
          <w:i/>
          <w:iCs/>
          <w:sz w:val="20"/>
          <w:szCs w:val="20"/>
        </w:rPr>
        <w:t xml:space="preserve">Adjustment to an opacity emission standard. </w:t>
      </w:r>
      <w:r w:rsidRPr="007E5DDE">
        <w:rPr>
          <w:rFonts w:ascii="Book Antiqua" w:eastAsia="Times New Roman" w:hAnsi="Book Antiqua" w:cs="Arial"/>
          <w:sz w:val="20"/>
          <w:szCs w:val="20"/>
        </w:rPr>
        <w:t>(i)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Administrator may grant such a petition upon a demonstration by the owner or operator that—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affected source and its associated air pollution control equipment were operated and maintained in a manner to minimize the opacity of emissions during the performance tests;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performance tests were performed under the conditions established by the Administrator;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affected source and its associated air pollution control equipment were incapable of being adjusted or operated to meet the relevant opacity emission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theFederal Register.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 </w:t>
      </w:r>
      <w:r w:rsidRPr="007E5DDE">
        <w:rPr>
          <w:rFonts w:ascii="Book Antiqua" w:eastAsia="Times New Roman" w:hAnsi="Book Antiqua" w:cs="Arial"/>
          <w:i/>
          <w:iCs/>
          <w:sz w:val="20"/>
          <w:szCs w:val="20"/>
        </w:rPr>
        <w:t xml:space="preserve">Extension of compliance with emission standards. </w:t>
      </w:r>
      <w:r w:rsidRPr="007E5DDE">
        <w:rPr>
          <w:rFonts w:ascii="Book Antiqua" w:eastAsia="Times New Roman" w:hAnsi="Book Antiqua" w:cs="Arial"/>
          <w:sz w:val="20"/>
          <w:szCs w:val="20"/>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Extension of compliance for early reductions and other reductions </w:t>
      </w:r>
      <w:r w:rsidRPr="007E5DDE">
        <w:rPr>
          <w:rFonts w:ascii="Book Antiqua" w:eastAsia="Times New Roman" w:hAnsi="Book Antiqua" w:cs="Arial"/>
          <w:sz w:val="20"/>
          <w:szCs w:val="20"/>
        </w:rPr>
        <w:t xml:space="preserve">—(i) </w:t>
      </w:r>
      <w:r w:rsidRPr="007E5DDE">
        <w:rPr>
          <w:rFonts w:ascii="Book Antiqua" w:eastAsia="Times New Roman" w:hAnsi="Book Antiqua" w:cs="Arial"/>
          <w:i/>
          <w:iCs/>
          <w:sz w:val="20"/>
          <w:szCs w:val="20"/>
        </w:rPr>
        <w:t xml:space="preserve">Early reductions. </w:t>
      </w:r>
      <w:r w:rsidRPr="007E5DDE">
        <w:rPr>
          <w:rFonts w:ascii="Book Antiqua" w:eastAsia="Times New Roman" w:hAnsi="Book Antiqua" w:cs="Arial"/>
          <w:sz w:val="20"/>
          <w:szCs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(ii) </w:t>
      </w:r>
      <w:r w:rsidRPr="007E5DDE">
        <w:rPr>
          <w:rFonts w:ascii="Book Antiqua" w:eastAsia="Times New Roman" w:hAnsi="Book Antiqua" w:cs="Arial"/>
          <w:i/>
          <w:iCs/>
          <w:sz w:val="20"/>
          <w:szCs w:val="20"/>
        </w:rPr>
        <w:t xml:space="preserve">Other reductions. </w:t>
      </w:r>
      <w:r w:rsidRPr="007E5DDE">
        <w:rPr>
          <w:rFonts w:ascii="Book Antiqua" w:eastAsia="Times New Roman" w:hAnsi="Book Antiqua" w:cs="Arial"/>
          <w:sz w:val="20"/>
          <w:szCs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Request for extension of compliance. </w:t>
      </w:r>
      <w:r w:rsidRPr="007E5DDE">
        <w:rPr>
          <w:rFonts w:ascii="Book Antiqua" w:eastAsia="Times New Roman" w:hAnsi="Book Antiqua" w:cs="Arial"/>
          <w:sz w:val="20"/>
          <w:szCs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(6)(i) The request for a compliance extension under paragraph (i)(4) of this section shall include the following information: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A description of the controls to be installed to comply with the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A compliance schedule, including the date by which each step toward compliance will be reached. At a minimum, the list of dates shall include: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1 </w:t>
      </w:r>
      <w:r w:rsidRPr="007E5DDE">
        <w:rPr>
          <w:rFonts w:ascii="Book Antiqua" w:eastAsia="Times New Roman" w:hAnsi="Book Antiqua" w:cs="Arial"/>
          <w:sz w:val="20"/>
          <w:szCs w:val="20"/>
        </w:rPr>
        <w:t>) The date by which on-site construction, installation of emission control equipment, or a process change is planned to be initiated;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2 </w:t>
      </w:r>
      <w:r w:rsidRPr="007E5DDE">
        <w:rPr>
          <w:rFonts w:ascii="Book Antiqua" w:eastAsia="Times New Roman" w:hAnsi="Book Antiqua" w:cs="Arial"/>
          <w:sz w:val="20"/>
          <w:szCs w:val="20"/>
        </w:rPr>
        <w:t>) The date by which final compliance is to be achieved.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3 </w:t>
      </w:r>
      <w:r w:rsidRPr="007E5DDE">
        <w:rPr>
          <w:rFonts w:ascii="Book Antiqua" w:eastAsia="Times New Roman" w:hAnsi="Book Antiqua" w:cs="Arial"/>
          <w:sz w:val="20"/>
          <w:szCs w:val="20"/>
        </w:rPr>
        <w:t>) The date by which on-site construction, installation of emission control equipment, or a process change is to be completed;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4 </w:t>
      </w:r>
      <w:r w:rsidRPr="007E5DDE">
        <w:rPr>
          <w:rFonts w:ascii="Book Antiqua" w:eastAsia="Times New Roman" w:hAnsi="Book Antiqua" w:cs="Arial"/>
          <w:sz w:val="20"/>
          <w:szCs w:val="20"/>
        </w:rPr>
        <w:t>) The date by which final compliance is to be achieved;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Advice on requesting an extension of compliance may be obtained from the Administrator (or the State with an approved permit program).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(8) </w:t>
      </w:r>
      <w:r w:rsidRPr="007E5DDE">
        <w:rPr>
          <w:rFonts w:ascii="Book Antiqua" w:eastAsia="Times New Roman" w:hAnsi="Book Antiqua" w:cs="Arial"/>
          <w:i/>
          <w:iCs/>
          <w:sz w:val="20"/>
          <w:szCs w:val="20"/>
        </w:rPr>
        <w:t xml:space="preserve">Approval of request for extension of compliance. </w:t>
      </w:r>
      <w:r w:rsidRPr="007E5DDE">
        <w:rPr>
          <w:rFonts w:ascii="Book Antiqua" w:eastAsia="Times New Roman" w:hAnsi="Book Antiqua" w:cs="Arial"/>
          <w:sz w:val="20"/>
          <w:szCs w:val="20"/>
        </w:rPr>
        <w:t>Paragraphs (i)(9) through (i)(14) of this section concern approval of an extension of compliance requested under paragraphs (i)(4) through (i)(6)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(10) The extension will be in writing and will—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Identify each affected source covered by the extension;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Specify the termination date of the extension;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Specify the dates by which steps toward compliance are to be taken, if appropriate;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Specify other applicable requirements to which the compliance extension applies (e.g., performance tests);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(v)(A) Under paragraph (i)(4), specify any additional conditions that the Administrator (or the State) deems necessary to assure installation of the necessary controls and protection of the health of persons during the extension period;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Under paragraph (i)(5), specify any additional conditions that the Administrator deems necessary to assure the proper operation and maintenance of the installed controls during the extension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Notice of the information and findings on which the intended denial is based;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Before denying any request for an extension of compliance, the Administrator will notify the owner or operator in writing of the Administrator's intention to issue the denial, together with—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Notice of the information and findings on which the intended denial is based;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Notice of the reason for termination;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(15)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(16) The granting of an extension under this section shall not abrogate the Administrator's authority under section 114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(j) </w:t>
      </w:r>
      <w:r w:rsidRPr="007E5DDE">
        <w:rPr>
          <w:rFonts w:ascii="Book Antiqua" w:eastAsia="Times New Roman" w:hAnsi="Book Antiqua" w:cs="Arial"/>
          <w:i/>
          <w:iCs/>
          <w:sz w:val="20"/>
          <w:szCs w:val="20"/>
        </w:rPr>
        <w:t xml:space="preserve">Exemption from compliance with emission standards. </w:t>
      </w:r>
      <w:r w:rsidRPr="007E5DDE">
        <w:rPr>
          <w:rFonts w:ascii="Book Antiqua" w:eastAsia="Times New Roman" w:hAnsi="Book Antiqua" w:cs="Arial"/>
          <w:sz w:val="20"/>
          <w:szCs w:val="20"/>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67 FR 16599, Apr. 5, 2002; 68 FR 32600, May 30, 2003; 71 FR 20454, Apr. 20, 2006]</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63.7   Performance testing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Applicability and performance test dates. </w:t>
      </w:r>
      <w:r w:rsidRPr="007E5DDE">
        <w:rPr>
          <w:rFonts w:ascii="Book Antiqua" w:eastAsia="Times New Roman" w:hAnsi="Book Antiqua" w:cs="Arial"/>
          <w:sz w:val="20"/>
          <w:szCs w:val="20"/>
        </w:rPr>
        <w:t>(1) The applicability of this section is set out in §63.1(a)(4).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(i)–(viii)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The Administrator may require an owner or operator to conduct performance tests at the affected source at any other time when the action is authorized by section 114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If a force majeure is about to occur, occurs, or has occurred for which the affected owner or operator intends to assert a claim of force majeure: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Notification of performance test. </w:t>
      </w:r>
      <w:r w:rsidRPr="007E5DDE">
        <w:rPr>
          <w:rFonts w:ascii="Book Antiqua" w:eastAsia="Times New Roman" w:hAnsi="Book Antiqua" w:cs="Arial"/>
          <w:sz w:val="20"/>
          <w:szCs w:val="20"/>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Quality assurance program. </w:t>
      </w:r>
      <w:r w:rsidRPr="007E5DDE">
        <w:rPr>
          <w:rFonts w:ascii="Book Antiqua" w:eastAsia="Times New Roman" w:hAnsi="Book Antiqua" w:cs="Arial"/>
          <w:sz w:val="20"/>
          <w:szCs w:val="20"/>
        </w:rPr>
        <w:t>(1) The results of the quality assurance program required in this paragraph will be considered by the Administrator when he/she determines the validity of a performance test.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(2)(i) </w:t>
      </w:r>
      <w:r w:rsidRPr="007E5DDE">
        <w:rPr>
          <w:rFonts w:ascii="Book Antiqua" w:eastAsia="Times New Roman" w:hAnsi="Book Antiqua" w:cs="Arial"/>
          <w:i/>
          <w:iCs/>
          <w:sz w:val="20"/>
          <w:szCs w:val="20"/>
        </w:rPr>
        <w:t xml:space="preserve">Submission of site-specific test plan. </w:t>
      </w:r>
      <w:r w:rsidRPr="007E5DDE">
        <w:rPr>
          <w:rFonts w:ascii="Book Antiqua" w:eastAsia="Times New Roman" w:hAnsi="Book Antiqua" w:cs="Arial"/>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internal QA program shall include, at a minimum, the activities planned by routine operators and analysts to provide an assessment of test data precision; an example of internal QA is the sampling and analysis of replicate samples.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E5DDE">
        <w:rPr>
          <w:rFonts w:ascii="Book Antiqua" w:eastAsia="Times New Roman" w:hAnsi="Book Antiqua" w:cs="Arial"/>
          <w:i/>
          <w:iCs/>
          <w:sz w:val="20"/>
          <w:szCs w:val="20"/>
        </w:rPr>
        <w:t xml:space="preserve">http://www.epa.gov/ttn/emc, </w:t>
      </w:r>
      <w:r w:rsidRPr="007E5DDE">
        <w:rPr>
          <w:rFonts w:ascii="Book Antiqua" w:eastAsia="Times New Roman" w:hAnsi="Book Antiqua" w:cs="Arial"/>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(1) </w:t>
      </w:r>
      <w:r w:rsidRPr="007E5DDE">
        <w:rPr>
          <w:rFonts w:ascii="Book Antiqua" w:eastAsia="Times New Roman" w:hAnsi="Book Antiqua" w:cs="Arial"/>
          <w:sz w:val="20"/>
          <w:szCs w:val="20"/>
        </w:rPr>
        <w:t>Preparing the sample;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(2) </w:t>
      </w:r>
      <w:r w:rsidRPr="007E5DDE">
        <w:rPr>
          <w:rFonts w:ascii="Book Antiqua" w:eastAsia="Times New Roman" w:hAnsi="Book Antiqua" w:cs="Arial"/>
          <w:sz w:val="20"/>
          <w:szCs w:val="20"/>
        </w:rPr>
        <w:t>Confirming the true concentration of the sample;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(3) </w:t>
      </w:r>
      <w:r w:rsidRPr="007E5DDE">
        <w:rPr>
          <w:rFonts w:ascii="Book Antiqua" w:eastAsia="Times New Roman" w:hAnsi="Book Antiqua" w:cs="Arial"/>
          <w:sz w:val="20"/>
          <w:szCs w:val="20"/>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i/>
          <w:iCs/>
          <w:sz w:val="20"/>
          <w:szCs w:val="20"/>
        </w:rPr>
        <w:t xml:space="preserve">(4) </w:t>
      </w:r>
      <w:r w:rsidRPr="007E5DDE">
        <w:rPr>
          <w:rFonts w:ascii="Book Antiqua" w:eastAsia="Times New Roman" w:hAnsi="Book Antiqua" w:cs="Arial"/>
          <w:sz w:val="20"/>
          <w:szCs w:val="20"/>
        </w:rPr>
        <w:t>Providing the opportunity for the compliance authority to comment on the selected concentration level for an audit sample;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5 </w:t>
      </w:r>
      <w:r w:rsidRPr="007E5DDE">
        <w:rPr>
          <w:rFonts w:ascii="Book Antiqua" w:eastAsia="Times New Roman" w:hAnsi="Book Antiqua" w:cs="Arial"/>
          <w:sz w:val="20"/>
          <w:szCs w:val="20"/>
        </w:rPr>
        <w:t>) Distributing the sample to the user in a manner that guarantees that the true value of the sample is unknown to the user;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6 </w:t>
      </w:r>
      <w:r w:rsidRPr="007E5DDE">
        <w:rPr>
          <w:rFonts w:ascii="Book Antiqua" w:eastAsia="Times New Roman" w:hAnsi="Book Antiqua" w:cs="Arial"/>
          <w:sz w:val="20"/>
          <w:szCs w:val="20"/>
        </w:rPr>
        <w:t>) Recording the measured concentration reported by the user and determining if the measured value is within acceptable limits;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7 </w:t>
      </w:r>
      <w:r w:rsidRPr="007E5DDE">
        <w:rPr>
          <w:rFonts w:ascii="Book Antiqua" w:eastAsia="Times New Roman" w:hAnsi="Book Antiqua" w:cs="Arial"/>
          <w:sz w:val="20"/>
          <w:szCs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8 </w:t>
      </w:r>
      <w:r w:rsidRPr="007E5DDE">
        <w:rPr>
          <w:rFonts w:ascii="Book Antiqua" w:eastAsia="Times New Roman" w:hAnsi="Book Antiqua" w:cs="Arial"/>
          <w:sz w:val="20"/>
          <w:szCs w:val="20"/>
        </w:rPr>
        <w:t>) Evaluating the acceptance limits of samples at least once every two years to determine in consultation with the voluntary consensus standard body if they should be changed.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9 </w:t>
      </w:r>
      <w:r w:rsidRPr="007E5DDE">
        <w:rPr>
          <w:rFonts w:ascii="Book Antiqua" w:eastAsia="Times New Roman" w:hAnsi="Book Antiqua" w:cs="Arial"/>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1 </w:t>
      </w:r>
      <w:r w:rsidRPr="007E5DDE">
        <w:rPr>
          <w:rFonts w:ascii="Book Antiqua" w:eastAsia="Times New Roman" w:hAnsi="Book Antiqua" w:cs="Arial"/>
          <w:sz w:val="20"/>
          <w:szCs w:val="20"/>
        </w:rPr>
        <w:t>) Checking audit samples to confirm their true value as reported by the AASP.</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2 </w:t>
      </w:r>
      <w:r w:rsidRPr="007E5DDE">
        <w:rPr>
          <w:rFonts w:ascii="Book Antiqua" w:eastAsia="Times New Roman" w:hAnsi="Book Antiqua" w:cs="Arial"/>
          <w:sz w:val="20"/>
          <w:szCs w:val="20"/>
        </w:rPr>
        <w:t>) Performing technical systems audits of the AASP's facilities and operating procedures at least once every two years.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3 </w:t>
      </w:r>
      <w:r w:rsidRPr="007E5DDE">
        <w:rPr>
          <w:rFonts w:ascii="Book Antiqua" w:eastAsia="Times New Roman" w:hAnsi="Book Antiqua" w:cs="Arial"/>
          <w:sz w:val="20"/>
          <w:szCs w:val="20"/>
        </w:rPr>
        <w:t>) Providing standards for use by the voluntary consensus standard body to approve the accrediting body that will accredit the audit sample providers.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7E5DDE">
        <w:rPr>
          <w:rFonts w:ascii="Book Antiqua" w:eastAsia="Times New Roman" w:hAnsi="Book Antiqua" w:cs="Arial"/>
          <w:i/>
          <w:iCs/>
          <w:sz w:val="20"/>
          <w:szCs w:val="20"/>
        </w:rPr>
        <w:t xml:space="preserve">Circular A–119 </w:t>
      </w:r>
      <w:r w:rsidRPr="007E5DDE">
        <w:rPr>
          <w:rFonts w:ascii="Book Antiqua" w:eastAsia="Times New Roman" w:hAnsi="Book Antiqua" w:cs="Arial"/>
          <w:sz w:val="20"/>
          <w:szCs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7E5DDE">
        <w:rPr>
          <w:rFonts w:ascii="Book Antiqua" w:eastAsia="Times New Roman" w:hAnsi="Book Antiqua" w:cs="Arial"/>
          <w:i/>
          <w:iCs/>
          <w:sz w:val="20"/>
          <w:szCs w:val="20"/>
        </w:rPr>
        <w:t xml:space="preserve">http://standards.gov/standards_gov/a119.cfm </w:t>
      </w:r>
      <w:r w:rsidRPr="007E5DDE">
        <w:rPr>
          <w:rFonts w:ascii="Book Antiqua" w:eastAsia="Times New Roman" w:hAnsi="Book Antiqua" w:cs="Arial"/>
          <w:sz w:val="20"/>
          <w:szCs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E5DDE">
        <w:rPr>
          <w:rFonts w:ascii="Book Antiqua" w:eastAsia="Times New Roman" w:hAnsi="Book Antiqua" w:cs="Arial"/>
          <w:i/>
          <w:iCs/>
          <w:sz w:val="20"/>
          <w:szCs w:val="20"/>
        </w:rPr>
        <w:t xml:space="preserve">http://www.epa.gov/ttn/emc </w:t>
      </w:r>
      <w:r w:rsidRPr="007E5DDE">
        <w:rPr>
          <w:rFonts w:ascii="Book Antiqua" w:eastAsia="Times New Roman" w:hAnsi="Book Antiqua" w:cs="Arial"/>
          <w:sz w:val="20"/>
          <w:szCs w:val="20"/>
        </w:rPr>
        <w: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The Administrator may request additional relevant information after the submittal of a site-specific test plan.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Approval of site-specific test plan. </w:t>
      </w:r>
      <w:r w:rsidRPr="007E5DDE">
        <w:rPr>
          <w:rFonts w:ascii="Book Antiqua" w:eastAsia="Times New Roman" w:hAnsi="Book Antiqua" w:cs="Arial"/>
          <w:sz w:val="20"/>
          <w:szCs w:val="20"/>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Notice of the information and findings on which the intended disapproval is based;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Notice of opportunity for the owner or operator to present, within 30 calendar days after he/she is notified of the intended disapproval, additional information to the Administrator before final action on the plan.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In the event that the Administrator fails to approve or disapprove the site-specific test plan within the time period specified in paragraph (c)(3)(i) of this section, the following conditions shall apply: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Neither the submission of a site-specific test plan for approval, nor the Administrator's approval or disapproval of a plan, nor the Administrator's failure to approve or disapprove a plan in a timely manner shall—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Relieve an owner or operator of legal responsibility for compliance with any applicable provisions of this part or with any other applicable Federal, State, or local requirement;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Prevent the Administrator from implementing or enforcing this part or taking any other action under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(d) </w:t>
      </w:r>
      <w:r w:rsidRPr="007E5DDE">
        <w:rPr>
          <w:rFonts w:ascii="Book Antiqua" w:eastAsia="Times New Roman" w:hAnsi="Book Antiqua" w:cs="Arial"/>
          <w:i/>
          <w:iCs/>
          <w:sz w:val="20"/>
          <w:szCs w:val="20"/>
        </w:rPr>
        <w:t xml:space="preserve">Performance testing facilities. </w:t>
      </w:r>
      <w:r w:rsidRPr="007E5DDE">
        <w:rPr>
          <w:rFonts w:ascii="Book Antiqua" w:eastAsia="Times New Roman" w:hAnsi="Book Antiqua" w:cs="Arial"/>
          <w:sz w:val="20"/>
          <w:szCs w:val="20"/>
        </w:rPr>
        <w:t>If required to do performance testing, the owner or operator of each new source and, at the request of the Administrator, the owner or operator of each existing source, shall provide performance testing facilities as follows: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Sampling ports adequate for test methods applicable to such source. This includes: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Constructing the air pollution control system such that volumetric flow rates and pollutant emission rates can be accurately determined by applicable test methods and procedures;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Providing a stack or duct free of cyclonic flow during performance tests, as demonstrated by applicable test methods and procedures;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Safe sampling platform(s);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Safe access to sampling platform(s);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Utilities for sampling and testing equipment;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Any other facilities that the Administrator deems necessary for safe and adequate testing of a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(e) </w:t>
      </w:r>
      <w:r w:rsidRPr="007E5DDE">
        <w:rPr>
          <w:rFonts w:ascii="Book Antiqua" w:eastAsia="Times New Roman" w:hAnsi="Book Antiqua" w:cs="Arial"/>
          <w:i/>
          <w:iCs/>
          <w:sz w:val="20"/>
          <w:szCs w:val="20"/>
        </w:rPr>
        <w:t xml:space="preserve">Conduct of performance tests. </w:t>
      </w:r>
      <w:r w:rsidRPr="007E5DDE">
        <w:rPr>
          <w:rFonts w:ascii="Book Antiqua" w:eastAsia="Times New Roman" w:hAnsi="Book Antiqua" w:cs="Arial"/>
          <w:sz w:val="20"/>
          <w:szCs w:val="20"/>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Specifies or approves, in specific cases, the use of a test method with minor changes in methodology (see definition in §63.90(a)). Such changes may be approved in conjunction with approval of the site-specific test plan (see paragraph (c) of this section);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Approves shorter sampling times or smaller sample volumes when necessitated by process variables or other factors;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Waives the requirement for performance tests because the owner or operator of an affected source has demonstrated by other means to the Administrator's satisfaction that the affected source is in compliance with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 sample is accidentally lost after the testing team leaves the site;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Conditions occur in which one of the three runs must be discontinued because of forced shutdown;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Extreme meteorological conditions occur;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Other circumstances occur that are beyond the owner or operator's control.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Nothing in paragraphs (e)(1) through (e)(3) of this section shall be construed to abrogate the Administrator's authority to require testing under section 114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(f) </w:t>
      </w:r>
      <w:r w:rsidRPr="007E5DDE">
        <w:rPr>
          <w:rFonts w:ascii="Book Antiqua" w:eastAsia="Times New Roman" w:hAnsi="Book Antiqua" w:cs="Arial"/>
          <w:i/>
          <w:iCs/>
          <w:sz w:val="20"/>
          <w:szCs w:val="20"/>
        </w:rPr>
        <w:t xml:space="preserve">Use of an alternative test method </w:t>
      </w: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General. </w:t>
      </w:r>
      <w:r w:rsidRPr="007E5DDE">
        <w:rPr>
          <w:rFonts w:ascii="Book Antiqua" w:eastAsia="Times New Roman" w:hAnsi="Book Antiqua" w:cs="Arial"/>
          <w:sz w:val="20"/>
          <w:szCs w:val="20"/>
        </w:rPr>
        <w:t>Until authorized to use an intermediate or major change or alternative to a test method, the owner or operator of an affected source remains subject to the requirements of this section and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owner or operator of an affected source required to do performance testing by a relevant standard may use an alternative test method from that specified in the standard provided that the owner or operator—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Notifies the Administrator of his or her intention to use an alternative test method at least 60 days before the performance test is scheduled to begin;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Uses Method 301 in appendix A of this part to validate the alternative test method. This may include the use of specific procedures of Method 301 if use of such procedures are sufficient to validate the alternative test method;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Neither the validation and approval process nor the failure to validate an alternative test method shall abrogate the owner or operator's responsibility to comply with the requirements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(g) </w:t>
      </w:r>
      <w:r w:rsidRPr="007E5DDE">
        <w:rPr>
          <w:rFonts w:ascii="Book Antiqua" w:eastAsia="Times New Roman" w:hAnsi="Book Antiqua" w:cs="Arial"/>
          <w:i/>
          <w:iCs/>
          <w:sz w:val="20"/>
          <w:szCs w:val="20"/>
        </w:rPr>
        <w:t xml:space="preserve">Data analysis, recordkeeping, and reporting. </w:t>
      </w:r>
      <w:r w:rsidRPr="007E5DDE">
        <w:rPr>
          <w:rFonts w:ascii="Book Antiqua" w:eastAsia="Times New Roman" w:hAnsi="Book Antiqua" w:cs="Arial"/>
          <w:sz w:val="20"/>
          <w:szCs w:val="20"/>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(h) </w:t>
      </w:r>
      <w:r w:rsidRPr="007E5DDE">
        <w:rPr>
          <w:rFonts w:ascii="Book Antiqua" w:eastAsia="Times New Roman" w:hAnsi="Book Antiqua" w:cs="Arial"/>
          <w:i/>
          <w:iCs/>
          <w:sz w:val="20"/>
          <w:szCs w:val="20"/>
        </w:rPr>
        <w:t xml:space="preserve">Waiver of performance tests. </w:t>
      </w:r>
      <w:r w:rsidRPr="007E5DDE">
        <w:rPr>
          <w:rFonts w:ascii="Book Antiqua" w:eastAsia="Times New Roman" w:hAnsi="Book Antiqua" w:cs="Arial"/>
          <w:sz w:val="20"/>
          <w:szCs w:val="20"/>
        </w:rPr>
        <w:t>(1) Until a waiver of a performance testing requirement has been granted by the Administrator under this paragraph, the owner or operator of an affected source remains subject to the requirements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Request to waive a performance test. </w:t>
      </w:r>
      <w:r w:rsidRPr="007E5DDE">
        <w:rPr>
          <w:rFonts w:ascii="Book Antiqua" w:eastAsia="Times New Roman" w:hAnsi="Book Antiqua" w:cs="Arial"/>
          <w:sz w:val="20"/>
          <w:szCs w:val="20"/>
        </w:rPr>
        <w:t>(i)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Approval of request to waive performance test. </w:t>
      </w:r>
      <w:r w:rsidRPr="007E5DDE">
        <w:rPr>
          <w:rFonts w:ascii="Book Antiqua" w:eastAsia="Times New Roman" w:hAnsi="Book Antiqua" w:cs="Arial"/>
          <w:sz w:val="20"/>
          <w:szCs w:val="20"/>
        </w:rPr>
        <w:t>The Administrator will approve or deny a request for a waiver of a performance test made under paragraph (h)(3) of this section when he/she—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Approves or denies an extension of compliance under §63.6(i)(8);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Approves or disapproves a site-specific test plan under §63.7(c)(3);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Makes a determination of compliance following the submission of a required compliance status report or excess emissions and continuous monitoring systems performance report;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Makes a determination of suitable progress towards compliance following the submission of a compliance progress report, whichever is applicable.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65 FR 62215, Oct. 17, 2000; 67 FR 16602, Apr. 5, 2002; 72 FR 27443, May 16, 2007; 75 FR 55655, Sept. 13, 2010]</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63.8   Monitoring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Applicability. </w:t>
      </w:r>
      <w:r w:rsidRPr="007E5DDE">
        <w:rPr>
          <w:rFonts w:ascii="Book Antiqua" w:eastAsia="Times New Roman" w:hAnsi="Book Antiqua" w:cs="Arial"/>
          <w:sz w:val="20"/>
          <w:szCs w:val="20"/>
        </w:rPr>
        <w:t>(1) The applicability of this section is set out in §63.1(a)(4).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Additional monitoring requirements for control devices used to comply with provisions in relevant standards of this part are specified in §63.11.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Conduct of monitoring. </w:t>
      </w:r>
      <w:r w:rsidRPr="007E5DDE">
        <w:rPr>
          <w:rFonts w:ascii="Book Antiqua" w:eastAsia="Times New Roman" w:hAnsi="Book Antiqua" w:cs="Arial"/>
          <w:sz w:val="20"/>
          <w:szCs w:val="20"/>
        </w:rPr>
        <w:t>(1) Monitoring shall be conducted as set forth in this section and the relevant standard(s) unless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Specifies or approves the use of minor changes in methodology for the specified monitoring requirements and procedures (see §63.90(a) for definition);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Approves the use of an intermediate or major change or alternative to any monitoring requirements or procedures (see §63.90(a) for definition).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Owners or operators with flares subject to §63.11(b) are not subject to the requirements of this section unless otherwise specified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Approved by the Administrator;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Operation and maintenance of continuous monitoring systems. </w:t>
      </w:r>
      <w:r w:rsidRPr="007E5DDE">
        <w:rPr>
          <w:rFonts w:ascii="Book Antiqua" w:eastAsia="Times New Roman" w:hAnsi="Book Antiqua" w:cs="Arial"/>
          <w:sz w:val="20"/>
          <w:szCs w:val="20"/>
        </w:rPr>
        <w:t>(1)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owner or operator must keep the necessary parts for routine repairs of the affected CMS equipment readily available.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owner or operator of an affected source must develop a written startup, shutdown, and malfunction plan for CMS as specified in §63.6(e)(3).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(2)(i) All CMS must be installed such that representative measures of emissions or process parameters from the affected source are obtained. In addition, CEMS must be located according to procedures contained in the applicable performance specification(s).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All COMS shall complete a minimum of one cycle of sampling and analyzing for each successive 10-second period and one cycle of data recording for each successive 6-minute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All CEMS for measuring emissions other than opacity shall complete a minimum of one cycle of operation (sampling, analyzing, and data recording) for each successive 15-minute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(7)(i) A CMS is out of control if—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zero (low-level), mid-level (if applicable), or high-level calibration drift (CD) exceeds two times the applicable CD specification in the applicable performance specification or in the relevant standard;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CMS fails a performance test audit (e.g., cylinder gas audit), relative accuracy audit, relative accuracy test audit, or linearity test audit;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COMS CD exceeds two times the limit in the applicable performance specification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(d) </w:t>
      </w:r>
      <w:r w:rsidRPr="007E5DDE">
        <w:rPr>
          <w:rFonts w:ascii="Book Antiqua" w:eastAsia="Times New Roman" w:hAnsi="Book Antiqua" w:cs="Arial"/>
          <w:i/>
          <w:iCs/>
          <w:sz w:val="20"/>
          <w:szCs w:val="20"/>
        </w:rPr>
        <w:t xml:space="preserve">Quality control program. </w:t>
      </w:r>
      <w:r w:rsidRPr="007E5DDE">
        <w:rPr>
          <w:rFonts w:ascii="Book Antiqua" w:eastAsia="Times New Roman" w:hAnsi="Book Antiqua" w:cs="Arial"/>
          <w:sz w:val="20"/>
          <w:szCs w:val="20"/>
        </w:rPr>
        <w:t>(1) The results of the quality control program required in this paragraph will be considered by the Administrator when he/she determines the validity of monitoring data.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Initial and any subsequent calibration of the CMS;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Determination and adjustment of the calibration drift of the CMS;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Preventive maintenance of the CMS, including spare parts inventory;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Data recording, calculations, and reporting;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Accuracy audit procedures, including sampling and analysis methods;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 Program of corrective action for a malfunctioning CMS.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(e) </w:t>
      </w:r>
      <w:r w:rsidRPr="007E5DDE">
        <w:rPr>
          <w:rFonts w:ascii="Book Antiqua" w:eastAsia="Times New Roman" w:hAnsi="Book Antiqua" w:cs="Arial"/>
          <w:i/>
          <w:iCs/>
          <w:sz w:val="20"/>
          <w:szCs w:val="20"/>
        </w:rPr>
        <w:t xml:space="preserve">Performance evaluation of continuous monitoring systems </w:t>
      </w: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General. </w:t>
      </w:r>
      <w:r w:rsidRPr="007E5DDE">
        <w:rPr>
          <w:rFonts w:ascii="Book Antiqua" w:eastAsia="Times New Roman" w:hAnsi="Book Antiqua" w:cs="Arial"/>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Notification of performance evaluation. </w:t>
      </w:r>
      <w:r w:rsidRPr="007E5DDE">
        <w:rPr>
          <w:rFonts w:ascii="Book Antiqua" w:eastAsia="Times New Roman" w:hAnsi="Book Antiqua" w:cs="Arial"/>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(3)(i) </w:t>
      </w:r>
      <w:r w:rsidRPr="007E5DDE">
        <w:rPr>
          <w:rFonts w:ascii="Book Antiqua" w:eastAsia="Times New Roman" w:hAnsi="Book Antiqua" w:cs="Arial"/>
          <w:i/>
          <w:iCs/>
          <w:sz w:val="20"/>
          <w:szCs w:val="20"/>
        </w:rPr>
        <w:t xml:space="preserve">Submission of site-specific performance evaluation test plan. </w:t>
      </w:r>
      <w:r w:rsidRPr="007E5DDE">
        <w:rPr>
          <w:rFonts w:ascii="Book Antiqua" w:eastAsia="Times New Roman" w:hAnsi="Book Antiqua" w:cs="Arial"/>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Administrator may request additional relevant information after the submittal of a site-specific performance evaluation test plan.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In the event that the Administrator fails to approve or disapprove the site-specific performance evaluation test plan within the time period specified in §63.7(c)(3), the following conditions shall apply: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 Neither the submission of a site-specific performance evaluation test plan for approval, nor the Administrator's approval or disapproval of a plan, nor the Administrator's failure to approve or disapprove a plan in a timely manner shall—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Relieve an owner or operator of legal responsibility for compliance with any applicable provisions of this part or with any other applicable Federal, State, or local requirement;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Prevent the Administrator from implementing or enforcing this part or taking any other action under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Conduct of performance evaluation and performance evaluation dates. </w:t>
      </w:r>
      <w:r w:rsidRPr="007E5DDE">
        <w:rPr>
          <w:rFonts w:ascii="Book Antiqua" w:eastAsia="Times New Roman" w:hAnsi="Book Antiqua" w:cs="Arial"/>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(5) </w:t>
      </w:r>
      <w:r w:rsidRPr="007E5DDE">
        <w:rPr>
          <w:rFonts w:ascii="Book Antiqua" w:eastAsia="Times New Roman" w:hAnsi="Book Antiqua" w:cs="Arial"/>
          <w:i/>
          <w:iCs/>
          <w:sz w:val="20"/>
          <w:szCs w:val="20"/>
        </w:rPr>
        <w:t xml:space="preserve">Reporting performance evaluation results. </w:t>
      </w:r>
      <w:r w:rsidRPr="007E5DDE">
        <w:rPr>
          <w:rFonts w:ascii="Book Antiqua" w:eastAsia="Times New Roman" w:hAnsi="Book Antiqua" w:cs="Arial"/>
          <w:sz w:val="20"/>
          <w:szCs w:val="20"/>
        </w:rPr>
        <w:t>(i)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(f) </w:t>
      </w:r>
      <w:r w:rsidRPr="007E5DDE">
        <w:rPr>
          <w:rFonts w:ascii="Book Antiqua" w:eastAsia="Times New Roman" w:hAnsi="Book Antiqua" w:cs="Arial"/>
          <w:i/>
          <w:iCs/>
          <w:sz w:val="20"/>
          <w:szCs w:val="20"/>
        </w:rPr>
        <w:t xml:space="preserve">Use of an alternative monitoring method </w:t>
      </w: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General. </w:t>
      </w:r>
      <w:r w:rsidRPr="007E5DDE">
        <w:rPr>
          <w:rFonts w:ascii="Book Antiqua" w:eastAsia="Times New Roman" w:hAnsi="Book Antiqua" w:cs="Arial"/>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After receipt and consideration of written application, the Administrator may approve alternatives to any monitoring methods or procedures of this part including, but not limited to, the following: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Alternative monitoring requirements when installation of a CMS specified by a relevant standard would not provide accurate measurements due to liquid water or other interferences caused by substances within the effluent gases;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Alternative monitoring requirements when the affected source is infrequently operated;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Alternative monitoring requirements to accommodate CEMS that require additional measurements to correct for stack moisture conditions;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Alternative locations for installing CMS when the owner or operator can demonstrate that installation at alternate locations will enable accurate and representative measurements;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Alternate methods for converting pollutant concentration measurements to units of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 Alternate procedures for performing daily checks of zero (low-level) and high-level drift that do not involve use of high-level gases or test cells;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 Alternatives to the American Society for Testing and Materials (ASTM) test methods or sampling procedures specified by any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(ix) Alternative monitoring requirements when the effluent from a single affected source or the combined effluent from two or more affected sources is released to the atmosphere through more than one point.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(4)(i) </w:t>
      </w:r>
      <w:r w:rsidRPr="007E5DDE">
        <w:rPr>
          <w:rFonts w:ascii="Book Antiqua" w:eastAsia="Times New Roman" w:hAnsi="Book Antiqua" w:cs="Arial"/>
          <w:i/>
          <w:iCs/>
          <w:sz w:val="20"/>
          <w:szCs w:val="20"/>
        </w:rPr>
        <w:t xml:space="preserve">Request to use alternative monitoring procedure. </w:t>
      </w:r>
      <w:r w:rsidRPr="007E5DDE">
        <w:rPr>
          <w:rFonts w:ascii="Book Antiqua" w:eastAsia="Times New Roman" w:hAnsi="Book Antiqua" w:cs="Arial"/>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Application for minor changes to monitoring procedures, as specified in paragraph (b)(1) of this section, may be made in the site-specific performance evaluation plan.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(5) </w:t>
      </w:r>
      <w:r w:rsidRPr="007E5DDE">
        <w:rPr>
          <w:rFonts w:ascii="Book Antiqua" w:eastAsia="Times New Roman" w:hAnsi="Book Antiqua" w:cs="Arial"/>
          <w:i/>
          <w:iCs/>
          <w:sz w:val="20"/>
          <w:szCs w:val="20"/>
        </w:rPr>
        <w:t xml:space="preserve">Approval of request to use alternative monitoring procedure. </w:t>
      </w:r>
      <w:r w:rsidRPr="007E5DDE">
        <w:rPr>
          <w:rFonts w:ascii="Book Antiqua" w:eastAsia="Times New Roman" w:hAnsi="Book Antiqua" w:cs="Arial"/>
          <w:sz w:val="20"/>
          <w:szCs w:val="20"/>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Notice of the information and findings on which the intended disapproval is based;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Administrator may establish general procedures and criteria in a relevant standard to accomplish the requirements of paragraph (f)(5)(i)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(6) </w:t>
      </w:r>
      <w:r w:rsidRPr="007E5DDE">
        <w:rPr>
          <w:rFonts w:ascii="Book Antiqua" w:eastAsia="Times New Roman" w:hAnsi="Book Antiqua" w:cs="Arial"/>
          <w:i/>
          <w:iCs/>
          <w:sz w:val="20"/>
          <w:szCs w:val="20"/>
        </w:rPr>
        <w:t xml:space="preserve">Alternative to the relative accuracy test. </w:t>
      </w:r>
      <w:r w:rsidRPr="007E5DDE">
        <w:rPr>
          <w:rFonts w:ascii="Book Antiqua" w:eastAsia="Times New Roman" w:hAnsi="Book Antiqua" w:cs="Arial"/>
          <w:sz w:val="20"/>
          <w:szCs w:val="20"/>
        </w:rPr>
        <w:t>An alternative to the relative accuracy test for CEMS specified in a relevant standard may be requested as follows: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 </w:t>
      </w:r>
      <w:r w:rsidRPr="007E5DDE">
        <w:rPr>
          <w:rFonts w:ascii="Book Antiqua" w:eastAsia="Times New Roman" w:hAnsi="Book Antiqua" w:cs="Arial"/>
          <w:i/>
          <w:iCs/>
          <w:sz w:val="20"/>
          <w:szCs w:val="20"/>
        </w:rPr>
        <w:t xml:space="preserve">Criteria for approval of alternative procedures. </w:t>
      </w:r>
      <w:r w:rsidRPr="007E5DDE">
        <w:rPr>
          <w:rFonts w:ascii="Book Antiqua" w:eastAsia="Times New Roman" w:hAnsi="Book Antiqua" w:cs="Arial"/>
          <w:sz w:val="20"/>
          <w:szCs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(ii) </w:t>
      </w:r>
      <w:r w:rsidRPr="007E5DDE">
        <w:rPr>
          <w:rFonts w:ascii="Book Antiqua" w:eastAsia="Times New Roman" w:hAnsi="Book Antiqua" w:cs="Arial"/>
          <w:i/>
          <w:iCs/>
          <w:sz w:val="20"/>
          <w:szCs w:val="20"/>
        </w:rPr>
        <w:t xml:space="preserve">Petition to use alternative to relative accuracy test. </w:t>
      </w:r>
      <w:r w:rsidRPr="007E5DDE">
        <w:rPr>
          <w:rFonts w:ascii="Book Antiqua" w:eastAsia="Times New Roman" w:hAnsi="Book Antiqua" w:cs="Arial"/>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(iii) </w:t>
      </w:r>
      <w:r w:rsidRPr="007E5DDE">
        <w:rPr>
          <w:rFonts w:ascii="Book Antiqua" w:eastAsia="Times New Roman" w:hAnsi="Book Antiqua" w:cs="Arial"/>
          <w:i/>
          <w:iCs/>
          <w:sz w:val="20"/>
          <w:szCs w:val="20"/>
        </w:rPr>
        <w:t xml:space="preserve">Rescission of approval to use alternative to relative accuracy test. </w:t>
      </w:r>
      <w:r w:rsidRPr="007E5DDE">
        <w:rPr>
          <w:rFonts w:ascii="Book Antiqua" w:eastAsia="Times New Roman" w:hAnsi="Book Antiqua" w:cs="Arial"/>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(g) </w:t>
      </w:r>
      <w:r w:rsidRPr="007E5DDE">
        <w:rPr>
          <w:rFonts w:ascii="Book Antiqua" w:eastAsia="Times New Roman" w:hAnsi="Book Antiqua" w:cs="Arial"/>
          <w:i/>
          <w:iCs/>
          <w:sz w:val="20"/>
          <w:szCs w:val="20"/>
        </w:rPr>
        <w:t xml:space="preserve">Reduction of monitoring data. </w:t>
      </w:r>
      <w:r w:rsidRPr="007E5DDE">
        <w:rPr>
          <w:rFonts w:ascii="Book Antiqua" w:eastAsia="Times New Roman" w:hAnsi="Book Antiqua" w:cs="Arial"/>
          <w:sz w:val="20"/>
          <w:szCs w:val="20"/>
        </w:rPr>
        <w:t>(1) The owner or operator of each CMS must reduce the monitoring data as specified in paragraphs (g)(1) through (5)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The data may be recorded in reduced or nonreduced form (e.g., ppm pollutant and percent O</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or ng/J of pollutant).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64 FR 7468, Feb. 12, 1999; 67 FR 16603, Apr. 5, 2002; 71 FR 20455, Apr. 20, 2006]</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63.9   Notification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Applicability and general information. </w:t>
      </w:r>
      <w:r w:rsidRPr="007E5DDE">
        <w:rPr>
          <w:rFonts w:ascii="Book Antiqua" w:eastAsia="Times New Roman" w:hAnsi="Book Antiqua" w:cs="Arial"/>
          <w:sz w:val="20"/>
          <w:szCs w:val="20"/>
        </w:rPr>
        <w:t>(1) The applicability of this section is set out in §63.1(a)(4).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For affected sources that have been granted an extension of compliance under subpart D of this part, the requirements of this section do not apply to those sources while they are operating under such compliance extensions.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Initial notifications. </w:t>
      </w:r>
      <w:r w:rsidRPr="007E5DDE">
        <w:rPr>
          <w:rFonts w:ascii="Book Antiqua" w:eastAsia="Times New Roman" w:hAnsi="Book Antiqua" w:cs="Arial"/>
          <w:sz w:val="20"/>
          <w:szCs w:val="20"/>
        </w:rPr>
        <w:t>(1)(i) The requirements of this paragraph apply to the owner or operator of an affected source when such source becomes subject to a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name and address of the owner or operator;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address (i.e., physical location) of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An identification of the relevant standard, or other requirement, that is the basis of the notification and the source's compliance date;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A statement of whether the affected source is a major source or an area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The owner or operator of a new or reconstructed major affected source for which an application for approval of construction or reconstruction is required under §63.5(d) must provide the following information in writing to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(ii)–(iv)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A notification of the actual date of startup of the source, delivered or postmarked within 15 calendar days after that date.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The owner or operator of a new or reconstructed affected source for which an application for approval of construction or reconstruction is not required under §63.5(d) must provide the following information in writing to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 notification of intention to construct a new affected source, reconstruct an affected source, or reconstruct a source such that the source becomes an affected source,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 notification of the actual date of startup of the source, delivered or postmarked within 15 calendar days after that date.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Request for extension of compliance. </w:t>
      </w:r>
      <w:r w:rsidRPr="007E5DDE">
        <w:rPr>
          <w:rFonts w:ascii="Book Antiqua" w:eastAsia="Times New Roman" w:hAnsi="Book Antiqua" w:cs="Arial"/>
          <w:sz w:val="20"/>
          <w:szCs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(d) </w:t>
      </w:r>
      <w:r w:rsidRPr="007E5DDE">
        <w:rPr>
          <w:rFonts w:ascii="Book Antiqua" w:eastAsia="Times New Roman" w:hAnsi="Book Antiqua" w:cs="Arial"/>
          <w:i/>
          <w:iCs/>
          <w:sz w:val="20"/>
          <w:szCs w:val="20"/>
        </w:rPr>
        <w:t xml:space="preserve">Notification that source is subject to special compliance requirements. </w:t>
      </w:r>
      <w:r w:rsidRPr="007E5DDE">
        <w:rPr>
          <w:rFonts w:ascii="Book Antiqua" w:eastAsia="Times New Roman" w:hAnsi="Book Antiqua" w:cs="Arial"/>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(e) </w:t>
      </w:r>
      <w:r w:rsidRPr="007E5DDE">
        <w:rPr>
          <w:rFonts w:ascii="Book Antiqua" w:eastAsia="Times New Roman" w:hAnsi="Book Antiqua" w:cs="Arial"/>
          <w:i/>
          <w:iCs/>
          <w:sz w:val="20"/>
          <w:szCs w:val="20"/>
        </w:rPr>
        <w:t xml:space="preserve">Notification of performance test. </w:t>
      </w:r>
      <w:r w:rsidRPr="007E5DDE">
        <w:rPr>
          <w:rFonts w:ascii="Book Antiqua" w:eastAsia="Times New Roman" w:hAnsi="Book Antiqua" w:cs="Arial"/>
          <w:sz w:val="20"/>
          <w:szCs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(f) </w:t>
      </w:r>
      <w:r w:rsidRPr="007E5DDE">
        <w:rPr>
          <w:rFonts w:ascii="Book Antiqua" w:eastAsia="Times New Roman" w:hAnsi="Book Antiqua" w:cs="Arial"/>
          <w:i/>
          <w:iCs/>
          <w:sz w:val="20"/>
          <w:szCs w:val="20"/>
        </w:rPr>
        <w:t xml:space="preserve">Notification of opacity and visible emission observations. </w:t>
      </w:r>
      <w:r w:rsidRPr="007E5DDE">
        <w:rPr>
          <w:rFonts w:ascii="Book Antiqua" w:eastAsia="Times New Roman" w:hAnsi="Book Antiqua" w:cs="Arial"/>
          <w:sz w:val="20"/>
          <w:szCs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(g) </w:t>
      </w:r>
      <w:r w:rsidRPr="007E5DDE">
        <w:rPr>
          <w:rFonts w:ascii="Book Antiqua" w:eastAsia="Times New Roman" w:hAnsi="Book Antiqua" w:cs="Arial"/>
          <w:i/>
          <w:iCs/>
          <w:sz w:val="20"/>
          <w:szCs w:val="20"/>
        </w:rPr>
        <w:t xml:space="preserve">Additional notification requirements for sources with continuous monitoring systems. </w:t>
      </w:r>
      <w:r w:rsidRPr="007E5DDE">
        <w:rPr>
          <w:rFonts w:ascii="Book Antiqua" w:eastAsia="Times New Roman" w:hAnsi="Book Antiqua" w:cs="Arial"/>
          <w:sz w:val="20"/>
          <w:szCs w:val="20"/>
        </w:rPr>
        <w:t>The owner or operator of an affected source required to use a CMS by a relevant standard shall furnish the Administrator written notification as follows: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(h) </w:t>
      </w:r>
      <w:r w:rsidRPr="007E5DDE">
        <w:rPr>
          <w:rFonts w:ascii="Book Antiqua" w:eastAsia="Times New Roman" w:hAnsi="Book Antiqua" w:cs="Arial"/>
          <w:i/>
          <w:iCs/>
          <w:sz w:val="20"/>
          <w:szCs w:val="20"/>
        </w:rPr>
        <w:t xml:space="preserve">Notification of compliance status. </w:t>
      </w:r>
      <w:r w:rsidRPr="007E5DDE">
        <w:rPr>
          <w:rFonts w:ascii="Book Antiqua" w:eastAsia="Times New Roman" w:hAnsi="Book Antiqua" w:cs="Arial"/>
          <w:sz w:val="20"/>
          <w:szCs w:val="20"/>
        </w:rPr>
        <w:t>(1) The requirements of paragraphs (h)(2) through (h)(4) of this section apply when an affected source becomes subject to a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methods that were used to determine compliance;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results of any performance tests, opacity or visible emission observations, continuous monitoring system (CMS) performance evaluations, and/or other monitoring procedures or methods that were conducted;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methods that will be used for determining continuing compliance, including a description of monitoring and reporting requirements and test methods;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The type and quantity of hazardous air pollutants emitted by the source (or surrogate pollutants if specified in the relevant standard), reported in units and averaging times and in accordance with the test methods specified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 If the relevant standard applies to both major and area sources, an analysis demonstrating whether the affected source is a major source (using the emissions data generated for this notification);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(F) A description of the air pollution control equipment (or method) for each emission point, including each control device (or method) for each hazardous air pollutant and the control efficiency (percent) for each control device (or method);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 A statement by the owner or operator of the affected existing, new, or reconstructed source as to whether the source has complied with the relevant standard or other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Advice on a notification of compliance status may be obtained from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 </w:t>
      </w:r>
      <w:r w:rsidRPr="007E5DDE">
        <w:rPr>
          <w:rFonts w:ascii="Book Antiqua" w:eastAsia="Times New Roman" w:hAnsi="Book Antiqua" w:cs="Arial"/>
          <w:i/>
          <w:iCs/>
          <w:sz w:val="20"/>
          <w:szCs w:val="20"/>
        </w:rPr>
        <w:t xml:space="preserve">Adjustment to time periods or postmark deadlines for submittal and review of required communications. </w:t>
      </w:r>
      <w:r w:rsidRPr="007E5DDE">
        <w:rPr>
          <w:rFonts w:ascii="Book Antiqua" w:eastAsia="Times New Roman" w:hAnsi="Book Antiqua" w:cs="Arial"/>
          <w:sz w:val="20"/>
          <w:szCs w:val="20"/>
        </w:rPr>
        <w:t>(1)(i) Until an adjustment of a time period or postmark deadline has been approved by the Administrator under paragraphs (i)(2) and (i)(3) of this section, the owner or operator of an affected source remains strictly subject to the requirements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An owner or operator shall request the adjustment provided for in paragraphs (i)(2) and (i)(3) of this section each time he or she wishes to change an applicable time period or postmark deadline specified in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If the Administrator is unable to meet a specified deadline, he or she will notify the owner or operator of any significant delay and inform the owner or operator of the amended schedule.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(j) </w:t>
      </w:r>
      <w:r w:rsidRPr="007E5DDE">
        <w:rPr>
          <w:rFonts w:ascii="Book Antiqua" w:eastAsia="Times New Roman" w:hAnsi="Book Antiqua" w:cs="Arial"/>
          <w:i/>
          <w:iCs/>
          <w:sz w:val="20"/>
          <w:szCs w:val="20"/>
        </w:rPr>
        <w:t xml:space="preserve">Change in information already provided. </w:t>
      </w:r>
      <w:r w:rsidRPr="007E5DDE">
        <w:rPr>
          <w:rFonts w:ascii="Book Antiqua" w:eastAsia="Times New Roman" w:hAnsi="Book Antiqua" w:cs="Arial"/>
          <w:sz w:val="20"/>
          <w:szCs w:val="20"/>
        </w:rPr>
        <w:t>Any change in the information already provided under this section shall be provided to the Administrator in writing within 15 calendar days after the change.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64 FR 7468, Feb. 12, 1999; 67 FR 16604, Apr. 5, 2002; 68 FR 32601, May 30, 2003]</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63.10   Recordkeeping and reporting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Applicability and general information. </w:t>
      </w:r>
      <w:r w:rsidRPr="007E5DDE">
        <w:rPr>
          <w:rFonts w:ascii="Book Antiqua" w:eastAsia="Times New Roman" w:hAnsi="Book Antiqua" w:cs="Arial"/>
          <w:sz w:val="20"/>
          <w:szCs w:val="20"/>
        </w:rPr>
        <w:t>(1) The applicability of this section is set out in §63.1(a)(4).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For affected sources that have been granted an extension of compliance under subpart D of this part, the requirements of this section do not apply to those sources while they are operating under such compliance extensions.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General recordkeeping requirements. </w:t>
      </w:r>
      <w:r w:rsidRPr="007E5DDE">
        <w:rPr>
          <w:rFonts w:ascii="Book Antiqua" w:eastAsia="Times New Roman" w:hAnsi="Book Antiqua" w:cs="Arial"/>
          <w:sz w:val="20"/>
          <w:szCs w:val="20"/>
        </w:rPr>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owner or operator of an affected source subject to the provisions of this part shall maintain relevant records for such source of—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occurrence and duration of each startup or shutdown when the startup or shutdown causes the source to exceed any applicable emission limitation in the relevant emission standards;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occurrence and duration of each malfunction of operation (i.e., process equipment) or the required air pollution control and monitoring equipment;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All required maintenance performed on the air pollution control and monitoring equipment;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 Each period during which a CMS is malfunctioning or inoperative (including out-of-control periods);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(viii) All results of performance tests, CMS performance evaluations, and opacity and visible emission observations;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(ix) All measurements as may be necessary to determine the conditions of performance tests and performance evaluations;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(x) All CMS calibration checks;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(xi) All adjustments and maintenance performed on CMS;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(xii) Any information demonstrating whether a source is meeting the requirements for a waiver of recordkeeping or reporting requirements under this part, if the source has been granted a waiver under paragraph (f)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(xiii) All emission levels relative to the criterion for obtaining permission to use an alternative to the relative accuracy test, if the source has been granted such permission under §63.8(f)(6);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(xiv) All documentation supporting initial notifications and notifications of compliance status under §63.9.</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Recordkeeping requirement for applicability determinations. </w:t>
      </w:r>
      <w:r w:rsidRPr="007E5DDE">
        <w:rPr>
          <w:rFonts w:ascii="Book Antiqua" w:eastAsia="Times New Roman" w:hAnsi="Book Antiqua" w:cs="Arial"/>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Additional recordkeeping requirements for sources with continuous monitoring systems. </w:t>
      </w:r>
      <w:r w:rsidRPr="007E5DDE">
        <w:rPr>
          <w:rFonts w:ascii="Book Antiqua" w:eastAsia="Times New Roman" w:hAnsi="Book Antiqua" w:cs="Arial"/>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All required CMS measurements (including monitoring data recorded during unavoidable CMS breakdowns and out-of-control periods);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(2)–(4)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The date and time identifying each period during which the CMS was inoperative except for zero (low-level) and high-level checks;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The date and time identifying each period during which the CMS was out of control, as defined in §63.8(c)(7);</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(9)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(10) The nature and cause of any malfunction (if known);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(11) The corrective action taken or preventive measures adopted;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(12) The nature of the repairs or adjustments to the CMS that was inoperative or out of control;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(13) The total process operating time during the reporting period;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(14) All procedures that are part of a quality control program developed and implemented for CMS under §63.8(d).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(d) </w:t>
      </w:r>
      <w:r w:rsidRPr="007E5DDE">
        <w:rPr>
          <w:rFonts w:ascii="Book Antiqua" w:eastAsia="Times New Roman" w:hAnsi="Book Antiqua" w:cs="Arial"/>
          <w:i/>
          <w:iCs/>
          <w:sz w:val="20"/>
          <w:szCs w:val="20"/>
        </w:rPr>
        <w:t xml:space="preserve">General reporting requirements. </w:t>
      </w:r>
      <w:r w:rsidRPr="007E5DDE">
        <w:rPr>
          <w:rFonts w:ascii="Book Antiqua" w:eastAsia="Times New Roman" w:hAnsi="Book Antiqua" w:cs="Arial"/>
          <w:sz w:val="20"/>
          <w:szCs w:val="20"/>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Reporting results of performance tests. </w:t>
      </w:r>
      <w:r w:rsidRPr="007E5DDE">
        <w:rPr>
          <w:rFonts w:ascii="Book Antiqua" w:eastAsia="Times New Roman" w:hAnsi="Book Antiqua" w:cs="Arial"/>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Reporting results of opacity or visible emission observations. </w:t>
      </w:r>
      <w:r w:rsidRPr="007E5DDE">
        <w:rPr>
          <w:rFonts w:ascii="Book Antiqua" w:eastAsia="Times New Roman" w:hAnsi="Book Antiqua" w:cs="Arial"/>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Progress reports. </w:t>
      </w:r>
      <w:r w:rsidRPr="007E5DDE">
        <w:rPr>
          <w:rFonts w:ascii="Book Antiqua" w:eastAsia="Times New Roman" w:hAnsi="Book Antiqua" w:cs="Arial"/>
          <w:sz w:val="20"/>
          <w:szCs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(5)(i) </w:t>
      </w:r>
      <w:r w:rsidRPr="007E5DDE">
        <w:rPr>
          <w:rFonts w:ascii="Book Antiqua" w:eastAsia="Times New Roman" w:hAnsi="Book Antiqua" w:cs="Arial"/>
          <w:i/>
          <w:iCs/>
          <w:sz w:val="20"/>
          <w:szCs w:val="20"/>
        </w:rPr>
        <w:t xml:space="preserve">Periodic startup, shutdown, and malfunction reports. </w:t>
      </w:r>
      <w:r w:rsidRPr="007E5DDE">
        <w:rPr>
          <w:rFonts w:ascii="Book Antiqua" w:eastAsia="Times New Roman" w:hAnsi="Book Antiqua" w:cs="Arial"/>
          <w:sz w:val="20"/>
          <w:szCs w:val="20"/>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(ii) </w:t>
      </w:r>
      <w:r w:rsidRPr="007E5DDE">
        <w:rPr>
          <w:rFonts w:ascii="Book Antiqua" w:eastAsia="Times New Roman" w:hAnsi="Book Antiqua" w:cs="Arial"/>
          <w:i/>
          <w:iCs/>
          <w:sz w:val="20"/>
          <w:szCs w:val="20"/>
        </w:rPr>
        <w:t xml:space="preserve">Immediate startup, shutdown, and malfunction reports. </w:t>
      </w:r>
      <w:r w:rsidRPr="007E5DDE">
        <w:rPr>
          <w:rFonts w:ascii="Book Antiqua" w:eastAsia="Times New Roman" w:hAnsi="Book Antiqua" w:cs="Arial"/>
          <w:sz w:val="20"/>
          <w:szCs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(e) </w:t>
      </w:r>
      <w:r w:rsidRPr="007E5DDE">
        <w:rPr>
          <w:rFonts w:ascii="Book Antiqua" w:eastAsia="Times New Roman" w:hAnsi="Book Antiqua" w:cs="Arial"/>
          <w:i/>
          <w:iCs/>
          <w:sz w:val="20"/>
          <w:szCs w:val="20"/>
        </w:rPr>
        <w:t xml:space="preserve">Additional reporting requirements for sources with continuous monitoring systems </w:t>
      </w: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General. </w:t>
      </w:r>
      <w:r w:rsidRPr="007E5DDE">
        <w:rPr>
          <w:rFonts w:ascii="Book Antiqua" w:eastAsia="Times New Roman" w:hAnsi="Book Antiqua" w:cs="Arial"/>
          <w:sz w:val="20"/>
          <w:szCs w:val="20"/>
        </w:rPr>
        <w:t>When more than one CEMS is used to measure the emissions from one affected source (e.g., multiple breechings, multiple outlets), the owner or operator shall report the results as required for each CEMS.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Reporting results of continuous monitoring system performance evaluations. </w:t>
      </w:r>
      <w:r w:rsidRPr="007E5DDE">
        <w:rPr>
          <w:rFonts w:ascii="Book Antiqua" w:eastAsia="Times New Roman" w:hAnsi="Book Antiqua" w:cs="Arial"/>
          <w:sz w:val="20"/>
          <w:szCs w:val="20"/>
        </w:rPr>
        <w:t>(i)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Excess emissions and continuous monitoring system performance report and summary report. </w:t>
      </w:r>
      <w:r w:rsidRPr="007E5DDE">
        <w:rPr>
          <w:rFonts w:ascii="Book Antiqua" w:eastAsia="Times New Roman" w:hAnsi="Book Antiqua" w:cs="Arial"/>
          <w:sz w:val="20"/>
          <w:szCs w:val="20"/>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More frequent reporting is specifically required by a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Administrator determines on a case-by-case basis that more frequent reporting is necessary to accurately assess the compliance status of the source;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The affected source is complying with the Performance Track Provisions of §63.16, which allows less frequent reporting.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(ii) </w:t>
      </w:r>
      <w:r w:rsidRPr="007E5DDE">
        <w:rPr>
          <w:rFonts w:ascii="Book Antiqua" w:eastAsia="Times New Roman" w:hAnsi="Book Antiqua" w:cs="Arial"/>
          <w:i/>
          <w:iCs/>
          <w:sz w:val="20"/>
          <w:szCs w:val="20"/>
        </w:rPr>
        <w:t xml:space="preserve">Request to reduce frequency of excess emissions and continuous monitoring system performance reports. </w:t>
      </w:r>
      <w:r w:rsidRPr="007E5DDE">
        <w:rPr>
          <w:rFonts w:ascii="Book Antiqua" w:eastAsia="Times New Roman" w:hAnsi="Book Antiqua" w:cs="Arial"/>
          <w:sz w:val="20"/>
          <w:szCs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For 1 full year (e.g., 4 quarterly or 12 monthly reporting periods) the affected source's excess emissions and continuous monitoring system performance reports continually demonstrate that the source is in compliance with the relevant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owner or operator continues to comply with all recordkeeping and monitoring requirements specified in this subpart and the relevant standard;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Administrator does not object to a reduced frequency of reporting for the affected source, as provided in paragraph (e)(3)(iii)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(v) </w:t>
      </w:r>
      <w:r w:rsidRPr="007E5DDE">
        <w:rPr>
          <w:rFonts w:ascii="Book Antiqua" w:eastAsia="Times New Roman" w:hAnsi="Book Antiqua" w:cs="Arial"/>
          <w:i/>
          <w:iCs/>
          <w:sz w:val="20"/>
          <w:szCs w:val="20"/>
        </w:rPr>
        <w:t xml:space="preserve">Content and submittal dates for excess emissions and monitoring system performance reports. </w:t>
      </w:r>
      <w:r w:rsidRPr="007E5DDE">
        <w:rPr>
          <w:rFonts w:ascii="Book Antiqua" w:eastAsia="Times New Roman" w:hAnsi="Book Antiqua" w:cs="Arial"/>
          <w:sz w:val="20"/>
          <w:szCs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(vi) </w:t>
      </w:r>
      <w:r w:rsidRPr="007E5DDE">
        <w:rPr>
          <w:rFonts w:ascii="Book Antiqua" w:eastAsia="Times New Roman" w:hAnsi="Book Antiqua" w:cs="Arial"/>
          <w:i/>
          <w:iCs/>
          <w:sz w:val="20"/>
          <w:szCs w:val="20"/>
        </w:rPr>
        <w:t xml:space="preserve">Summary report. </w:t>
      </w:r>
      <w:r w:rsidRPr="007E5DDE">
        <w:rPr>
          <w:rFonts w:ascii="Book Antiqua" w:eastAsia="Times New Roman" w:hAnsi="Book Antiqua" w:cs="Arial"/>
          <w:sz w:val="20"/>
          <w:szCs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company name and address of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An identification of each hazardous air pollutant monitored at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beginning and ending dates of the reporting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A brief description of the process units;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 The emission and operating parameter limitations specified in the relevant standard(s);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(F) The monitoring equipment manufacturer(s) and model number(s);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 The date of the latest CMS certification or audit;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 The total operating time of the affected source during the reporting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 A description of any changes in CMS, processes, or controls since the last reporting period;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(L) The name, title, and signature of the responsible official who is certifying the accuracy of the report;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(M) The date of the report.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Reporting continuous opacity monitoring system data produced during a performance test. </w:t>
      </w:r>
      <w:r w:rsidRPr="007E5DDE">
        <w:rPr>
          <w:rFonts w:ascii="Book Antiqua" w:eastAsia="Times New Roman" w:hAnsi="Book Antiqua" w:cs="Arial"/>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(f) </w:t>
      </w:r>
      <w:r w:rsidRPr="007E5DDE">
        <w:rPr>
          <w:rFonts w:ascii="Book Antiqua" w:eastAsia="Times New Roman" w:hAnsi="Book Antiqua" w:cs="Arial"/>
          <w:i/>
          <w:iCs/>
          <w:sz w:val="20"/>
          <w:szCs w:val="20"/>
        </w:rPr>
        <w:t xml:space="preserve">Waiver of recordkeeping or reporting requirements. </w:t>
      </w:r>
      <w:r w:rsidRPr="007E5DDE">
        <w:rPr>
          <w:rFonts w:ascii="Book Antiqua" w:eastAsia="Times New Roman" w:hAnsi="Book Antiqua" w:cs="Arial"/>
          <w:sz w:val="20"/>
          <w:szCs w:val="20"/>
        </w:rPr>
        <w:t>(1) Until a waiver of a recordkeeping or reporting requirement has been granted by the Administrator under this paragraph, the owner or operator of an affected source remains subject to the requirements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The Administrator will approve or deny a request for a waiver of recordkeeping or reporting requirements under this paragraph when he/she—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Approves or denies an extension of compliance;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Makes a determination of compliance following the submission of a required compliance status report or excess emissions and continuous monitoring systems performance report;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Makes a determination of suitable progress towards compliance following the submission of a compliance progress report, whichever is applicable.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A waiver of any recordkeeping or reporting requirement granted under this paragraph may be conditioned on other recordkeeping or reporting requirements deemed necessary by the Administrator.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64 FR 7468, Feb. 12, 1999; 67 FR 16604, Apr. 5, 2002; 68 FR 32601, May 30, 2003; 69 FR 21752, Apr. 22, 2004; 71 FR 20455, Apr. 20, 2006]</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63.11   Control device and work practice requirements.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Applicability. </w:t>
      </w:r>
      <w:r w:rsidRPr="007E5DDE">
        <w:rPr>
          <w:rFonts w:ascii="Book Antiqua" w:eastAsia="Times New Roman" w:hAnsi="Book Antiqua" w:cs="Arial"/>
          <w:sz w:val="20"/>
          <w:szCs w:val="20"/>
        </w:rPr>
        <w:t>(1) The applicability of this section is set out in §63.1(a)(4).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Flares. </w:t>
      </w:r>
      <w:r w:rsidRPr="007E5DDE">
        <w:rPr>
          <w:rFonts w:ascii="Book Antiqua" w:eastAsia="Times New Roman" w:hAnsi="Book Antiqua" w:cs="Arial"/>
          <w:sz w:val="20"/>
          <w:szCs w:val="20"/>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Flares shall be steam-assisted, air-assisted, or non-assisted.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Flares shall be operated at all times when emissions may be vented to them.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Flares shall be operated with a flame present at all times. The presence of a flare pilot flame shall be monitored using a thermocouple or any other equivalent device to detect the presence of a flame.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 as determined by the following equation: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=(X</w:t>
      </w:r>
      <w:r w:rsidRPr="007E5DDE">
        <w:rPr>
          <w:rFonts w:ascii="Book Antiqua" w:eastAsia="Times New Roman" w:hAnsi="Book Antiqua" w:cs="Arial"/>
          <w:sz w:val="20"/>
          <w:szCs w:val="20"/>
          <w:vertAlign w:val="subscript"/>
        </w:rPr>
        <w:t>H2</w:t>
      </w:r>
      <w:r w:rsidRPr="007E5DDE">
        <w:rPr>
          <w:rFonts w:ascii="Book Antiqua" w:eastAsia="Times New Roman" w:hAnsi="Book Antiqua" w:cs="Arial"/>
          <w:sz w:val="20"/>
          <w:szCs w:val="20"/>
        </w:rPr>
        <w:t>−K</w:t>
      </w:r>
      <w:r w:rsidRPr="007E5DDE">
        <w:rPr>
          <w:rFonts w:ascii="Book Antiqua" w:eastAsia="Times New Roman" w:hAnsi="Book Antiqua" w:cs="Arial"/>
          <w:sz w:val="20"/>
          <w:szCs w:val="20"/>
          <w:vertAlign w:val="subscript"/>
        </w:rPr>
        <w:t>1</w:t>
      </w:r>
      <w:r w:rsidRPr="007E5DDE">
        <w:rPr>
          <w:rFonts w:ascii="Book Antiqua" w:eastAsia="Times New Roman" w:hAnsi="Book Antiqua" w:cs="Arial"/>
          <w:sz w:val="20"/>
          <w:szCs w:val="20"/>
        </w:rPr>
        <w:t>)* K</w:t>
      </w:r>
      <w:r w:rsidRPr="007E5DDE">
        <w:rPr>
          <w:rFonts w:ascii="Book Antiqua" w:eastAsia="Times New Roman" w:hAnsi="Book Antiqua" w:cs="Arial"/>
          <w:sz w:val="20"/>
          <w:szCs w:val="20"/>
          <w:vertAlign w:val="subscript"/>
        </w:rPr>
        <w:t>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Where: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=Maximum permitted velocity, m/sec.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w:t>
      </w:r>
      <w:r w:rsidRPr="007E5DDE">
        <w:rPr>
          <w:rFonts w:ascii="Book Antiqua" w:eastAsia="Times New Roman" w:hAnsi="Book Antiqua" w:cs="Arial"/>
          <w:sz w:val="20"/>
          <w:szCs w:val="20"/>
          <w:vertAlign w:val="subscript"/>
        </w:rPr>
        <w:t>1</w:t>
      </w:r>
      <w:r w:rsidRPr="007E5DDE">
        <w:rPr>
          <w:rFonts w:ascii="Book Antiqua" w:eastAsia="Times New Roman" w:hAnsi="Book Antiqua" w:cs="Arial"/>
          <w:sz w:val="20"/>
          <w:szCs w:val="20"/>
        </w:rPr>
        <w:t>=Constant, 6.0 volume-percent hydrogen.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=Constant, 3.9(m/sec)/volume-percent hydrogen.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X</w:t>
      </w:r>
      <w:r w:rsidRPr="007E5DDE">
        <w:rPr>
          <w:rFonts w:ascii="Book Antiqua" w:eastAsia="Times New Roman" w:hAnsi="Book Antiqua" w:cs="Arial"/>
          <w:sz w:val="20"/>
          <w:szCs w:val="20"/>
          <w:vertAlign w:val="subscript"/>
        </w:rPr>
        <w:t>H2</w:t>
      </w:r>
      <w:r w:rsidRPr="007E5DDE">
        <w:rPr>
          <w:rFonts w:ascii="Book Antiqua" w:eastAsia="Times New Roman" w:hAnsi="Book Antiqua" w:cs="Arial"/>
          <w:sz w:val="20"/>
          <w:szCs w:val="20"/>
        </w:rPr>
        <w:t>=The volume-percent of hydrogen, on a wet basis, as calculated by using the American Society for Testing and Materials (ASTM) Method D1946–77. (Incorporated by reference as specified in §63.14).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actual exit velocity of a flare shall be determined by the method specified in paragraph (b)(7)(i)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7E5DDE" w:rsidRPr="007E5DDE" w:rsidRDefault="007E5DDE" w:rsidP="007E5DDE">
      <w:pPr>
        <w:spacing w:after="0" w:line="240" w:lineRule="auto"/>
        <w:rPr>
          <w:rFonts w:ascii="Book Antiqua" w:eastAsia="Times New Roman" w:hAnsi="Book Antiqua" w:cs="Arial"/>
          <w:sz w:val="20"/>
          <w:szCs w:val="20"/>
        </w:rPr>
      </w:pPr>
      <w:r w:rsidRPr="007E5DDE">
        <w:rPr>
          <w:rFonts w:ascii="Book Antiqua" w:eastAsia="Times New Roman" w:hAnsi="Book Antiqua" w:cs="Arial"/>
          <w:noProof/>
          <w:sz w:val="20"/>
          <w:szCs w:val="20"/>
        </w:rPr>
        <w:drawing>
          <wp:inline distT="0" distB="0" distL="0" distR="0">
            <wp:extent cx="1002030" cy="424180"/>
            <wp:effectExtent l="19050" t="0" r="7620" b="0"/>
            <wp:docPr id="1" name="Picture 1" descr="http://ecfr.gpoaccess.gov/graphics/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cfr.gpoaccess.gov/graphics/er04my98.004.gif"/>
                    <pic:cNvPicPr>
                      <a:picLocks noChangeAspect="1" noChangeArrowheads="1"/>
                    </pic:cNvPicPr>
                  </pic:nvPicPr>
                  <pic:blipFill>
                    <a:blip r:embed="rId7" cstate="print"/>
                    <a:srcRect/>
                    <a:stretch>
                      <a:fillRect/>
                    </a:stretch>
                  </pic:blipFill>
                  <pic:spPr bwMode="auto">
                    <a:xfrm>
                      <a:off x="0" y="0"/>
                      <a:ext cx="1002030" cy="424180"/>
                    </a:xfrm>
                    <a:prstGeom prst="rect">
                      <a:avLst/>
                    </a:prstGeom>
                    <a:noFill/>
                    <a:ln w="9525">
                      <a:noFill/>
                      <a:miter lim="800000"/>
                      <a:headEnd/>
                      <a:tailEnd/>
                    </a:ln>
                  </pic:spPr>
                </pic:pic>
              </a:graphicData>
            </a:graphic>
          </wp:inline>
        </w:drawing>
      </w:r>
    </w:p>
    <w:p w:rsidR="007E5DDE" w:rsidRPr="007E5DDE" w:rsidRDefault="007E5DDE" w:rsidP="007E5DDE">
      <w:pPr>
        <w:spacing w:before="100" w:beforeAutospacing="1" w:after="100" w:afterAutospacing="1" w:line="240" w:lineRule="auto"/>
        <w:rPr>
          <w:rFonts w:ascii="Book Antiqua" w:eastAsia="Times New Roman" w:hAnsi="Book Antiqua" w:cs="Times New Roman"/>
          <w:sz w:val="20"/>
          <w:szCs w:val="20"/>
        </w:rPr>
      </w:pPr>
      <w:r w:rsidRPr="007E5DDE">
        <w:rPr>
          <w:rFonts w:ascii="Book Antiqua" w:eastAsia="Times New Roman" w:hAnsi="Book Antiqua" w:cs="Arial"/>
          <w:sz w:val="20"/>
          <w:szCs w:val="20"/>
        </w:rPr>
        <w:t>Where: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w:t>
      </w:r>
      <w:r w:rsidRPr="007E5DDE">
        <w:rPr>
          <w:rFonts w:ascii="Book Antiqua" w:eastAsia="Times New Roman" w:hAnsi="Book Antiqua" w:cs="Arial"/>
          <w:sz w:val="20"/>
          <w:szCs w:val="20"/>
          <w:vertAlign w:val="subscript"/>
        </w:rPr>
        <w:t>T</w:t>
      </w:r>
      <w:r w:rsidRPr="007E5DDE">
        <w:rPr>
          <w:rFonts w:ascii="Book Antiqua" w:eastAsia="Times New Roman" w:hAnsi="Book Antiqua" w:cs="Arial"/>
          <w:sz w:val="20"/>
          <w:szCs w:val="20"/>
        </w:rPr>
        <w:t>=Net heating value of the sample, MJ/scm; where the net enthalpy per mole of offgas is based on combustion at 25 °C and 760 mm Hg, but the standard temperature for determining the volume corresponding to one mole is 20 °C.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K=Constant=</w:t>
      </w:r>
    </w:p>
    <w:p w:rsidR="007E5DDE" w:rsidRPr="007E5DDE" w:rsidRDefault="007E5DDE" w:rsidP="007E5DDE">
      <w:pPr>
        <w:spacing w:after="0" w:line="240" w:lineRule="auto"/>
        <w:rPr>
          <w:rFonts w:ascii="Book Antiqua" w:eastAsia="Times New Roman" w:hAnsi="Book Antiqua" w:cs="Arial"/>
          <w:sz w:val="20"/>
          <w:szCs w:val="20"/>
        </w:rPr>
      </w:pPr>
      <w:r w:rsidRPr="007E5DDE">
        <w:rPr>
          <w:rFonts w:ascii="Book Antiqua" w:eastAsia="Times New Roman" w:hAnsi="Book Antiqua" w:cs="Arial"/>
          <w:noProof/>
          <w:sz w:val="20"/>
          <w:szCs w:val="20"/>
        </w:rPr>
        <w:drawing>
          <wp:inline distT="0" distB="0" distL="0" distR="0">
            <wp:extent cx="2333625" cy="461010"/>
            <wp:effectExtent l="19050" t="0" r="9525" b="0"/>
            <wp:docPr id="2" name="Picture 2" descr="http://ecfr.gpoaccess.gov/graphics/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cfr.gpoaccess.gov/graphics/er04my98.005.gif"/>
                    <pic:cNvPicPr>
                      <a:picLocks noChangeAspect="1" noChangeArrowheads="1"/>
                    </pic:cNvPicPr>
                  </pic:nvPicPr>
                  <pic:blipFill>
                    <a:blip r:embed="rId8" cstate="print"/>
                    <a:srcRect/>
                    <a:stretch>
                      <a:fillRect/>
                    </a:stretch>
                  </pic:blipFill>
                  <pic:spPr bwMode="auto">
                    <a:xfrm>
                      <a:off x="0" y="0"/>
                      <a:ext cx="2333625" cy="461010"/>
                    </a:xfrm>
                    <a:prstGeom prst="rect">
                      <a:avLst/>
                    </a:prstGeom>
                    <a:noFill/>
                    <a:ln w="9525">
                      <a:noFill/>
                      <a:miter lim="800000"/>
                      <a:headEnd/>
                      <a:tailEnd/>
                    </a:ln>
                  </pic:spPr>
                </pic:pic>
              </a:graphicData>
            </a:graphic>
          </wp:inline>
        </w:drawing>
      </w:r>
    </w:p>
    <w:p w:rsidR="007E5DDE" w:rsidRPr="007E5DDE" w:rsidRDefault="007E5DDE" w:rsidP="007E5DDE">
      <w:pPr>
        <w:spacing w:before="100" w:beforeAutospacing="1" w:after="100" w:afterAutospacing="1" w:line="240" w:lineRule="auto"/>
        <w:rPr>
          <w:rFonts w:ascii="Book Antiqua" w:eastAsia="Times New Roman" w:hAnsi="Book Antiqua" w:cs="Times New Roman"/>
          <w:sz w:val="20"/>
          <w:szCs w:val="20"/>
        </w:rPr>
      </w:pPr>
      <w:r w:rsidRPr="007E5DDE">
        <w:rPr>
          <w:rFonts w:ascii="Book Antiqua" w:eastAsia="Times New Roman" w:hAnsi="Book Antiqua" w:cs="Arial"/>
          <w:sz w:val="20"/>
          <w:szCs w:val="20"/>
        </w:rPr>
        <w:t>where the standard temperature for (g-mole/scm) is 20 °C.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w:t>
      </w:r>
      <w:r w:rsidRPr="007E5DDE">
        <w:rPr>
          <w:rFonts w:ascii="Book Antiqua" w:eastAsia="Times New Roman" w:hAnsi="Book Antiqua" w:cs="Arial"/>
          <w:sz w:val="20"/>
          <w:szCs w:val="20"/>
          <w:vertAlign w:val="subscript"/>
        </w:rPr>
        <w:t>i</w:t>
      </w:r>
      <w:r w:rsidRPr="007E5DDE">
        <w:rPr>
          <w:rFonts w:ascii="Book Antiqua" w:eastAsia="Times New Roman" w:hAnsi="Book Antiqua" w:cs="Arial"/>
          <w:sz w:val="20"/>
          <w:szCs w:val="20"/>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w:t>
      </w:r>
      <w:r w:rsidRPr="007E5DDE">
        <w:rPr>
          <w:rFonts w:ascii="Book Antiqua" w:eastAsia="Times New Roman" w:hAnsi="Book Antiqua" w:cs="Arial"/>
          <w:sz w:val="20"/>
          <w:szCs w:val="20"/>
          <w:vertAlign w:val="subscript"/>
        </w:rPr>
        <w:t>i</w:t>
      </w:r>
      <w:r w:rsidRPr="007E5DDE">
        <w:rPr>
          <w:rFonts w:ascii="Book Antiqua" w:eastAsia="Times New Roman" w:hAnsi="Book Antiqua" w:cs="Arial"/>
          <w:sz w:val="20"/>
          <w:szCs w:val="20"/>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n=Number of sample components.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Steam-assisted and nonassisted flares designed for and operated with an exit velocity, as determined by the method specified in paragraph (b)(7)(i) of this section, less than the velocity 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 as determined by the method specified in this paragraph, but less than 122 m/sec (400 ft/sec) are allowed. The maximum permitted velocity, 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 for flares complying with this paragraph shall be determined by the following equation: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Log</w:t>
      </w:r>
      <w:r w:rsidRPr="007E5DDE">
        <w:rPr>
          <w:rFonts w:ascii="Book Antiqua" w:eastAsia="Times New Roman" w:hAnsi="Book Antiqua" w:cs="Arial"/>
          <w:sz w:val="20"/>
          <w:szCs w:val="20"/>
          <w:vertAlign w:val="subscript"/>
        </w:rPr>
        <w:t>10</w:t>
      </w:r>
      <w:r w:rsidRPr="007E5DDE">
        <w:rPr>
          <w:rFonts w:ascii="Book Antiqua" w:eastAsia="Times New Roman" w:hAnsi="Book Antiqua" w:cs="Arial"/>
          <w:sz w:val="20"/>
          <w:szCs w:val="20"/>
        </w:rPr>
        <w:t>(V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)=(H</w:t>
      </w:r>
      <w:r w:rsidRPr="007E5DDE">
        <w:rPr>
          <w:rFonts w:ascii="Book Antiqua" w:eastAsia="Times New Roman" w:hAnsi="Book Antiqua" w:cs="Arial"/>
          <w:sz w:val="20"/>
          <w:szCs w:val="20"/>
          <w:vertAlign w:val="subscript"/>
        </w:rPr>
        <w:t>T</w:t>
      </w:r>
      <w:r w:rsidRPr="007E5DDE">
        <w:rPr>
          <w:rFonts w:ascii="Book Antiqua" w:eastAsia="Times New Roman" w:hAnsi="Book Antiqua" w:cs="Arial"/>
          <w:sz w:val="20"/>
          <w:szCs w:val="20"/>
        </w:rPr>
        <w:t>+28.8)/31.7</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Where: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=Maximum permitted velocity, m/sec.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28.8=Constant.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31.7=Constant.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w:t>
      </w:r>
      <w:r w:rsidRPr="007E5DDE">
        <w:rPr>
          <w:rFonts w:ascii="Book Antiqua" w:eastAsia="Times New Roman" w:hAnsi="Book Antiqua" w:cs="Arial"/>
          <w:sz w:val="20"/>
          <w:szCs w:val="20"/>
          <w:vertAlign w:val="subscript"/>
        </w:rPr>
        <w:t>T</w:t>
      </w:r>
      <w:r w:rsidRPr="007E5DDE">
        <w:rPr>
          <w:rFonts w:ascii="Book Antiqua" w:eastAsia="Times New Roman" w:hAnsi="Book Antiqua" w:cs="Arial"/>
          <w:sz w:val="20"/>
          <w:szCs w:val="20"/>
        </w:rPr>
        <w:t>=The net heating value as determined in paragraph (b)(6)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 Air-assisted flares shall be designed and operated with an exit velocity less than the velocity 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 The maximum permitted velocity, 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 for air-assisted flares shall be determined by the following equation: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=8.71+0.708(H</w:t>
      </w:r>
      <w:r w:rsidRPr="007E5DDE">
        <w:rPr>
          <w:rFonts w:ascii="Book Antiqua" w:eastAsia="Times New Roman" w:hAnsi="Book Antiqua" w:cs="Arial"/>
          <w:sz w:val="20"/>
          <w:szCs w:val="20"/>
          <w:vertAlign w:val="subscript"/>
        </w:rPr>
        <w:t>T</w:t>
      </w:r>
      <w:r w:rsidRPr="007E5DDE">
        <w:rPr>
          <w:rFonts w:ascii="Book Antiqua" w:eastAsia="Times New Roman" w:hAnsi="Book Antiqua" w:cs="Arial"/>
          <w:sz w:val="20"/>
          <w:szCs w:val="20"/>
        </w:rPr>
        <w: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Where: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w:t>
      </w:r>
      <w:r w:rsidRPr="007E5DDE">
        <w:rPr>
          <w:rFonts w:ascii="Book Antiqua" w:eastAsia="Times New Roman" w:hAnsi="Book Antiqua" w:cs="Arial"/>
          <w:sz w:val="20"/>
          <w:szCs w:val="20"/>
          <w:vertAlign w:val="subscript"/>
        </w:rPr>
        <w:t>max</w:t>
      </w:r>
      <w:r w:rsidRPr="007E5DDE">
        <w:rPr>
          <w:rFonts w:ascii="Book Antiqua" w:eastAsia="Times New Roman" w:hAnsi="Book Antiqua" w:cs="Arial"/>
          <w:sz w:val="20"/>
          <w:szCs w:val="20"/>
        </w:rPr>
        <w:t>=Maximum permitted velocity, m/sec.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8.71=Constant.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0.708=Constant.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w:t>
      </w:r>
      <w:r w:rsidRPr="007E5DDE">
        <w:rPr>
          <w:rFonts w:ascii="Book Antiqua" w:eastAsia="Times New Roman" w:hAnsi="Book Antiqua" w:cs="Arial"/>
          <w:sz w:val="20"/>
          <w:szCs w:val="20"/>
          <w:vertAlign w:val="subscript"/>
        </w:rPr>
        <w:t>T</w:t>
      </w:r>
      <w:r w:rsidRPr="007E5DDE">
        <w:rPr>
          <w:rFonts w:ascii="Book Antiqua" w:eastAsia="Times New Roman" w:hAnsi="Book Antiqua" w:cs="Arial"/>
          <w:sz w:val="20"/>
          <w:szCs w:val="20"/>
        </w:rPr>
        <w:t>=The net heating value as determined in paragraph (b)(6)(ii)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(c) </w:t>
      </w:r>
      <w:r w:rsidRPr="007E5DDE">
        <w:rPr>
          <w:rFonts w:ascii="Book Antiqua" w:eastAsia="Times New Roman" w:hAnsi="Book Antiqua" w:cs="Arial"/>
          <w:i/>
          <w:iCs/>
          <w:sz w:val="20"/>
          <w:szCs w:val="20"/>
        </w:rPr>
        <w:t xml:space="preserve">Alternative work practice for monitoring equipment for leaks. </w:t>
      </w:r>
      <w:r w:rsidRPr="007E5DDE">
        <w:rPr>
          <w:rFonts w:ascii="Book Antiqua" w:eastAsia="Times New Roman" w:hAnsi="Book Antiqua" w:cs="Arial"/>
          <w:sz w:val="20"/>
          <w:szCs w:val="20"/>
        </w:rPr>
        <w:t>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Applicable subpart </w:t>
      </w:r>
      <w:r w:rsidRPr="007E5DDE">
        <w:rPr>
          <w:rFonts w:ascii="Book Antiqua" w:eastAsia="Times New Roman" w:hAnsi="Book Antiqua" w:cs="Arial"/>
          <w:sz w:val="20"/>
          <w:szCs w:val="20"/>
        </w:rPr>
        <w:t>means the subpart in 40 CFR parts 60, 61, 63, and 65 that requires monitoring of equipment with a 40 CFR part 60, appendix A–7, Method 21 monitor.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Equipment </w:t>
      </w:r>
      <w:r w:rsidRPr="007E5DDE">
        <w:rPr>
          <w:rFonts w:ascii="Book Antiqua" w:eastAsia="Times New Roman" w:hAnsi="Book Antiqua" w:cs="Arial"/>
          <w:sz w:val="20"/>
          <w:szCs w:val="20"/>
        </w:rPr>
        <w:t>means pumps, valves, pressure relief valves, compressors, open-ended lines, flanges, connectors, and other equipment covered by the applicable subpart that require monitoring with a 40 CFR part 60, appendix A–7, Method 21 monitor.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Imaging </w:t>
      </w:r>
      <w:r w:rsidRPr="007E5DDE">
        <w:rPr>
          <w:rFonts w:ascii="Book Antiqua" w:eastAsia="Times New Roman" w:hAnsi="Book Antiqua" w:cs="Arial"/>
          <w:sz w:val="20"/>
          <w:szCs w:val="20"/>
        </w:rPr>
        <w:t>means making visible emissions that may otherwise be invisible to the naked eye.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Optical gas imaging instrument </w:t>
      </w:r>
      <w:r w:rsidRPr="007E5DDE">
        <w:rPr>
          <w:rFonts w:ascii="Book Antiqua" w:eastAsia="Times New Roman" w:hAnsi="Book Antiqua" w:cs="Arial"/>
          <w:sz w:val="20"/>
          <w:szCs w:val="20"/>
        </w:rPr>
        <w:t>means an instrument that makes visible emissions that may otherwise be invisible to the naked eye.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(5) </w:t>
      </w:r>
      <w:r w:rsidRPr="007E5DDE">
        <w:rPr>
          <w:rFonts w:ascii="Book Antiqua" w:eastAsia="Times New Roman" w:hAnsi="Book Antiqua" w:cs="Arial"/>
          <w:i/>
          <w:iCs/>
          <w:sz w:val="20"/>
          <w:szCs w:val="20"/>
        </w:rPr>
        <w:t xml:space="preserve">Repair </w:t>
      </w:r>
      <w:r w:rsidRPr="007E5DDE">
        <w:rPr>
          <w:rFonts w:ascii="Book Antiqua" w:eastAsia="Times New Roman" w:hAnsi="Book Antiqua" w:cs="Arial"/>
          <w:sz w:val="20"/>
          <w:szCs w:val="20"/>
        </w:rPr>
        <w:t>means that equipment is adjusted, or otherwise altered, in order to eliminate a leak.</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(6) </w:t>
      </w:r>
      <w:r w:rsidRPr="007E5DDE">
        <w:rPr>
          <w:rFonts w:ascii="Book Antiqua" w:eastAsia="Times New Roman" w:hAnsi="Book Antiqua" w:cs="Arial"/>
          <w:i/>
          <w:iCs/>
          <w:sz w:val="20"/>
          <w:szCs w:val="20"/>
        </w:rPr>
        <w:t xml:space="preserve">Leak </w:t>
      </w:r>
      <w:r w:rsidRPr="007E5DDE">
        <w:rPr>
          <w:rFonts w:ascii="Book Antiqua" w:eastAsia="Times New Roman" w:hAnsi="Book Antiqua" w:cs="Arial"/>
          <w:sz w:val="20"/>
          <w:szCs w:val="20"/>
        </w:rPr>
        <w:t>means: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Any emissions imaged by the optical gas instrument;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Indications of liquids dripping;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Indications by a sensor that a seal or barrier fluid system has failed;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Screening results using a 40 CFR part 60, appendix A–7, Method 21 monitor that exceed the leak definition in the applicable subpart to which the equipment is subject.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(d) The alternative work practice standard for monitoring equipment for leaks is available to all subparts in 40 CFR parts 60, 61, 63, and 65 that require monitoring of equipment with a 40 CFR part 60, appendix A–7, Method 21 monitor.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Any leak detected when following the leak survey procedure in paragraph (e)(3) of this section must be identified for repair as required in the applicable subpart.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The schedule for repair is as required in the applicable subpart.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When this alternative work practice is used for detecting leaking equipment, the following are not applicable for the equipment being monitored: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Skip period leak detection and repair;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Quality improvement plans;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Complying with standards for allowable percentage of valves and pumps to leak.</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 An owner or operator of an affected source who chooses to use the alternative work practice must comply with the requirements of paragraphs (e)(1) through (e)(5)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Instrument specifications. </w:t>
      </w:r>
      <w:r w:rsidRPr="007E5DDE">
        <w:rPr>
          <w:rFonts w:ascii="Book Antiqua" w:eastAsia="Times New Roman" w:hAnsi="Book Antiqua" w:cs="Arial"/>
          <w:sz w:val="20"/>
          <w:szCs w:val="20"/>
        </w:rPr>
        <w:t>The optical gas imaging instrument must comply with the requirements specified in paragraphs (e)(1)(i) and (e)(1)(ii)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Provide a date and time stamp for video records of every monitoring event.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w:t>
      </w:r>
      <w:r w:rsidRPr="007E5DDE">
        <w:rPr>
          <w:rFonts w:ascii="Book Antiqua" w:eastAsia="Times New Roman" w:hAnsi="Book Antiqua" w:cs="Arial"/>
          <w:i/>
          <w:iCs/>
          <w:sz w:val="20"/>
          <w:szCs w:val="20"/>
        </w:rPr>
        <w:t xml:space="preserve">Daily instrument check. </w:t>
      </w:r>
      <w:r w:rsidRPr="007E5DDE">
        <w:rPr>
          <w:rFonts w:ascii="Book Antiqua" w:eastAsia="Times New Roman" w:hAnsi="Book Antiqua" w:cs="Arial"/>
          <w:sz w:val="20"/>
          <w:szCs w:val="20"/>
        </w:rPr>
        <w:t>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Calculate the mass flow rate to be used in the daily instrument check by following the procedures in paragraphs (e)(2)(i)(A) and (e)(2)(i)(B)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7E5DDE" w:rsidRPr="007E5DDE" w:rsidRDefault="007E5DDE" w:rsidP="007E5DDE">
      <w:pPr>
        <w:spacing w:after="0" w:line="240" w:lineRule="auto"/>
        <w:rPr>
          <w:rFonts w:ascii="Book Antiqua" w:eastAsia="Times New Roman" w:hAnsi="Book Antiqua" w:cs="Arial"/>
          <w:sz w:val="20"/>
          <w:szCs w:val="20"/>
        </w:rPr>
      </w:pPr>
      <w:r w:rsidRPr="007E5DDE">
        <w:rPr>
          <w:rFonts w:ascii="Book Antiqua" w:eastAsia="Times New Roman" w:hAnsi="Book Antiqua" w:cs="Arial"/>
          <w:noProof/>
          <w:sz w:val="20"/>
          <w:szCs w:val="20"/>
        </w:rPr>
        <w:drawing>
          <wp:inline distT="0" distB="0" distL="0" distR="0">
            <wp:extent cx="819150" cy="343535"/>
            <wp:effectExtent l="19050" t="0" r="0" b="0"/>
            <wp:docPr id="3" name="Picture 3" descr="http://ecfr.gpoaccess.gov/graphics/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cfr.gpoaccess.gov/graphics/er22de08.008.gif"/>
                    <pic:cNvPicPr>
                      <a:picLocks noChangeAspect="1" noChangeArrowheads="1"/>
                    </pic:cNvPicPr>
                  </pic:nvPicPr>
                  <pic:blipFill>
                    <a:blip r:embed="rId9" cstate="print"/>
                    <a:srcRect/>
                    <a:stretch>
                      <a:fillRect/>
                    </a:stretch>
                  </pic:blipFill>
                  <pic:spPr bwMode="auto">
                    <a:xfrm>
                      <a:off x="0" y="0"/>
                      <a:ext cx="819150" cy="343535"/>
                    </a:xfrm>
                    <a:prstGeom prst="rect">
                      <a:avLst/>
                    </a:prstGeom>
                    <a:noFill/>
                    <a:ln w="9525">
                      <a:noFill/>
                      <a:miter lim="800000"/>
                      <a:headEnd/>
                      <a:tailEnd/>
                    </a:ln>
                  </pic:spPr>
                </pic:pic>
              </a:graphicData>
            </a:graphic>
          </wp:inline>
        </w:drawing>
      </w:r>
    </w:p>
    <w:p w:rsidR="007E5DDE" w:rsidRPr="007E5DDE" w:rsidRDefault="007E5DDE" w:rsidP="007E5DDE">
      <w:pPr>
        <w:spacing w:before="100" w:beforeAutospacing="1" w:after="100" w:afterAutospacing="1" w:line="240" w:lineRule="auto"/>
        <w:rPr>
          <w:rFonts w:ascii="Book Antiqua" w:eastAsia="Times New Roman" w:hAnsi="Book Antiqua" w:cs="Times New Roman"/>
          <w:sz w:val="20"/>
          <w:szCs w:val="20"/>
        </w:rPr>
      </w:pPr>
      <w:r w:rsidRPr="007E5DDE">
        <w:rPr>
          <w:rFonts w:ascii="Book Antiqua" w:eastAsia="Times New Roman" w:hAnsi="Book Antiqua" w:cs="Arial"/>
          <w:sz w:val="20"/>
          <w:szCs w:val="20"/>
        </w:rPr>
        <w:t>Where: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w:t>
      </w:r>
      <w:r w:rsidRPr="007E5DDE">
        <w:rPr>
          <w:rFonts w:ascii="Book Antiqua" w:eastAsia="Times New Roman" w:hAnsi="Book Antiqua" w:cs="Arial"/>
          <w:sz w:val="20"/>
          <w:szCs w:val="20"/>
          <w:vertAlign w:val="subscript"/>
        </w:rPr>
        <w:t>dic</w:t>
      </w:r>
      <w:r w:rsidRPr="007E5DDE">
        <w:rPr>
          <w:rFonts w:ascii="Book Antiqua" w:eastAsia="Times New Roman" w:hAnsi="Book Antiqua" w:cs="Arial"/>
          <w:sz w:val="20"/>
          <w:szCs w:val="20"/>
        </w:rPr>
        <w:t>= Mass flow rate for the daily instrument check, grams per hour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x</w:t>
      </w:r>
      <w:r w:rsidRPr="007E5DDE">
        <w:rPr>
          <w:rFonts w:ascii="Book Antiqua" w:eastAsia="Times New Roman" w:hAnsi="Book Antiqua" w:cs="Arial"/>
          <w:sz w:val="20"/>
          <w:szCs w:val="20"/>
          <w:vertAlign w:val="subscript"/>
        </w:rPr>
        <w:t>i</w:t>
      </w:r>
      <w:r w:rsidRPr="007E5DDE">
        <w:rPr>
          <w:rFonts w:ascii="Book Antiqua" w:eastAsia="Times New Roman" w:hAnsi="Book Antiqua" w:cs="Arial"/>
          <w:sz w:val="20"/>
          <w:szCs w:val="20"/>
        </w:rPr>
        <w:t>= Mass fraction of detectable chemical(s) i seen by the optical gas imaging instrument, within the distance to be used in paragraph (e)(2)(iv)(B) of this section, at or below the standard detection sensitivity level, E</w:t>
      </w:r>
      <w:r w:rsidRPr="007E5DDE">
        <w:rPr>
          <w:rFonts w:ascii="Book Antiqua" w:eastAsia="Times New Roman" w:hAnsi="Book Antiqua" w:cs="Arial"/>
          <w:sz w:val="20"/>
          <w:szCs w:val="20"/>
          <w:vertAlign w:val="subscript"/>
        </w:rPr>
        <w:t>sds</w:t>
      </w:r>
      <w:r w:rsidRPr="007E5DDE">
        <w:rPr>
          <w:rFonts w:ascii="Book Antiqua" w:eastAsia="Times New Roman" w:hAnsi="Book Antiqua" w:cs="Arial"/>
          <w:sz w:val="20"/>
          <w:szCs w:val="20"/>
        </w:rPr>
        <w: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w:t>
      </w:r>
      <w:r w:rsidRPr="007E5DDE">
        <w:rPr>
          <w:rFonts w:ascii="Book Antiqua" w:eastAsia="Times New Roman" w:hAnsi="Book Antiqua" w:cs="Arial"/>
          <w:sz w:val="20"/>
          <w:szCs w:val="20"/>
          <w:vertAlign w:val="subscript"/>
        </w:rPr>
        <w:t>sds</w:t>
      </w:r>
      <w:r w:rsidRPr="007E5DDE">
        <w:rPr>
          <w:rFonts w:ascii="Book Antiqua" w:eastAsia="Times New Roman" w:hAnsi="Book Antiqua" w:cs="Arial"/>
          <w:sz w:val="20"/>
          <w:szCs w:val="20"/>
        </w:rPr>
        <w:t>= Standard detection sensitivity level from Table 1 to subpart A, grams per hour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 = Total number of detectable chemicals emitted from the leaking equipment and seen by the optical gas imaging instrument.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Start the optical gas imaging instrument according to the manufacturer's instructions, ensuring that all appropriate settings conform to the manufacturer's instructions.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Use any gas chosen by the user that can be viewed by the optical gas imaging instrument and that has a purity of no less than 98 percent.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Establish a mass flow rate by using the following procedures: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Provide a source of gas where it will be in the field of view of the optical gas imaging instrument.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Repeat the procedures specified in paragraphs (e)(2)(ii) through (e)(2)(iv) of this section for each configuration of the optical gas imaging instrument used during the leak survey.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 To use an alternative method to demonstrate daily instrument checks, apply to the Administrator for approval of the alternative under §63.177 or §63.178, whichever is applicable.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(3) </w:t>
      </w:r>
      <w:r w:rsidRPr="007E5DDE">
        <w:rPr>
          <w:rFonts w:ascii="Book Antiqua" w:eastAsia="Times New Roman" w:hAnsi="Book Antiqua" w:cs="Arial"/>
          <w:i/>
          <w:iCs/>
          <w:sz w:val="20"/>
          <w:szCs w:val="20"/>
        </w:rPr>
        <w:t xml:space="preserve">Leak survey procedure. </w:t>
      </w:r>
      <w:r w:rsidRPr="007E5DDE">
        <w:rPr>
          <w:rFonts w:ascii="Book Antiqua" w:eastAsia="Times New Roman" w:hAnsi="Book Antiqua" w:cs="Arial"/>
          <w:sz w:val="20"/>
          <w:szCs w:val="20"/>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(4) </w:t>
      </w:r>
      <w:r w:rsidRPr="007E5DDE">
        <w:rPr>
          <w:rFonts w:ascii="Book Antiqua" w:eastAsia="Times New Roman" w:hAnsi="Book Antiqua" w:cs="Arial"/>
          <w:i/>
          <w:iCs/>
          <w:sz w:val="20"/>
          <w:szCs w:val="20"/>
        </w:rPr>
        <w:t xml:space="preserve">Recordkeeping. </w:t>
      </w:r>
      <w:r w:rsidRPr="007E5DDE">
        <w:rPr>
          <w:rFonts w:ascii="Book Antiqua" w:eastAsia="Times New Roman" w:hAnsi="Book Antiqua" w:cs="Arial"/>
          <w:sz w:val="20"/>
          <w:szCs w:val="20"/>
        </w:rPr>
        <w:t>Keep the records described in paragraphs (e)(4)(i) through (e)(4)(vii)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equipment, processes, and facilities for which the owner or operator chooses to use the alternative work practice.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The detection sensitivity level selected from Table 1 to subpart A of this part for the optical gas imaging instrument.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The analysis to determine the piece of equipment in contact with the lowest mass fraction of chemicals that are detectable, as specified in paragraph (e)(2)(i)(A)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The technical basis for the mass fraction of detectable chemicals used in the equation in paragraph (e)(2)(i)(B)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(vi) </w:t>
      </w:r>
      <w:r w:rsidRPr="007E5DDE">
        <w:rPr>
          <w:rFonts w:ascii="Book Antiqua" w:eastAsia="Times New Roman" w:hAnsi="Book Antiqua" w:cs="Arial"/>
          <w:i/>
          <w:iCs/>
          <w:sz w:val="20"/>
          <w:szCs w:val="20"/>
        </w:rPr>
        <w:t xml:space="preserve">Recordkeeping requirements in the applicable subpart. </w:t>
      </w:r>
      <w:r w:rsidRPr="007E5DDE">
        <w:rPr>
          <w:rFonts w:ascii="Book Antiqua" w:eastAsia="Times New Roman" w:hAnsi="Book Antiqua" w:cs="Arial"/>
          <w:sz w:val="20"/>
          <w:szCs w:val="20"/>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(5) </w:t>
      </w:r>
      <w:r w:rsidRPr="007E5DDE">
        <w:rPr>
          <w:rFonts w:ascii="Book Antiqua" w:eastAsia="Times New Roman" w:hAnsi="Book Antiqua" w:cs="Arial"/>
          <w:i/>
          <w:iCs/>
          <w:sz w:val="20"/>
          <w:szCs w:val="20"/>
        </w:rPr>
        <w:t xml:space="preserve">Reporting. </w:t>
      </w:r>
      <w:r w:rsidRPr="007E5DDE">
        <w:rPr>
          <w:rFonts w:ascii="Book Antiqua" w:eastAsia="Times New Roman" w:hAnsi="Book Antiqua" w:cs="Arial"/>
          <w:sz w:val="20"/>
          <w:szCs w:val="20"/>
        </w:rPr>
        <w:t xml:space="preserve">Submit the reports required in the applicable subpart. Submit the records of the annual Method 21 screening required in paragraph (h)(7) of this section to the Administrator via e-mail to </w:t>
      </w:r>
      <w:r w:rsidRPr="007E5DDE">
        <w:rPr>
          <w:rFonts w:ascii="Book Antiqua" w:eastAsia="Times New Roman" w:hAnsi="Book Antiqua" w:cs="Arial"/>
          <w:i/>
          <w:iCs/>
          <w:sz w:val="20"/>
          <w:szCs w:val="20"/>
        </w:rPr>
        <w:t xml:space="preserve">CCG-AWP@EPA.GOV.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63 FR 24444, May 4, 1998; 65 FR 62215, Oct. 17, 2000; 67 FR 16605, Apr. 5, 2002; 73 FR 78211, Dec. 22, 2008]</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63.12   State authority and delegations.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The provisions of this part shall not be construed in any manner to preclude any State or political subdivision thereof from—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Requiring the owner or operator of an affected source to obtain permits, licenses, or approvals prior to initiating construction, reconstruction, modification, or operation of such source; or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Requiring emission reductions in excess of those specified in subpart D of this part as a condition for granting the extension of compliance authorized by section 112(i)(5)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63.13   Addresses of State air pollution control agencies and EPA Regional Offices.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I (Connecticut, Maine, Massachusetts, New Hampshire, Rhode Island, Vermont), Director, Office of Ecosystem Protection, 5 Post Office Square—Suite 100, Boston, MA 02109–3912.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II (New Jersey, New York, Puerto Rico, Virgin Islands), Director, Air and Waste Management Division, 26 Federal Plaza, New York, NY 10278.</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III (Delaware, District of Columbia, Maryland, Pennsylvania, Virginia, West Virginia), Director, Air Protection Division, 1650 Arch Street, Philadelphia, PA 19103.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IV (Alabama, Florida, Georgia, Kentucky, Mississippi, North Carolina, South Carolina, Tennessee). Director, Air, Pesticides and Toxics Management Division, Atlanta Federal Center, 61 Forsyth Street, Atlanta, GA 30303–3104.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V (Illinois, Indiana, Michigan, Minnesota, Ohio, Wisconsin), Director, Air and Radiation Division, 77 West Jackson Blvd., Chicago, IL 60604–3507.</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VI (Arkansas, Louisiana, New Mexico, Oklahoma, Texas), Director, Air, Pesticides and Toxics, 1445 Ross Avenue, Dallas, TX 75202–2733.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VII (Iowa, Kansas, Missouri, Nebraska), Director, Air, RCRA, and Toxics Division, U.S. Environmental Protection Agency, 901 N. 5th Street, Kansas City, KS 66101.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VIII (Colorado, Montana, North Dakota, South Dakota, Utah, Wyoming) Director, Air and Toxics Technical Enforcement Program, Office of Enforcement, Compliance and Environmental Justice, Mail Code 8ENF–AT, 1595 Wynkoop Street, Denver, CO 80202–1129.</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EPA Region X (Alaska, Idaho, Oregon, Washington), Director, Office of Air Quality, 1200 Sixth Avenue (OAQ–107), Seattle, WA 98101.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 as amended at 63 FR 66061, Dec. 1, 1998; 67 FR 4184, Jan. 29, 2002; 68 FR 32601, May 30, 2003; 68 FR 35792, June 17, 2003; 73 FR 24871, May 6, 2008; 75 FR 69532, Nov. 12, 2010; 76 FR 49673, Aug. 11, 2011]</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63.14   Incorporations by reference.</w:t>
      </w:r>
    </w:p>
    <w:p w:rsidR="007E5DDE" w:rsidRPr="007E5DDE" w:rsidRDefault="00860D78" w:rsidP="007E5DDE">
      <w:pPr>
        <w:spacing w:before="100" w:beforeAutospacing="1" w:after="100" w:afterAutospacing="1" w:line="240" w:lineRule="auto"/>
        <w:rPr>
          <w:rFonts w:ascii="Book Antiqua" w:eastAsia="Times New Roman" w:hAnsi="Book Antiqua" w:cs="Arial"/>
          <w:sz w:val="20"/>
          <w:szCs w:val="20"/>
        </w:rPr>
      </w:pPr>
      <w:hyperlink r:id="rId10" w:history="1">
        <w:r w:rsidR="007E5DDE" w:rsidRPr="007E5DDE">
          <w:rPr>
            <w:rFonts w:ascii="Book Antiqua" w:eastAsia="Times New Roman" w:hAnsi="Book Antiqua" w:cs="Arial"/>
            <w:color w:val="0000FF"/>
            <w:sz w:val="20"/>
            <w:szCs w:val="20"/>
            <w:u w:val="single"/>
          </w:rPr>
          <w:t>Link to an amendment published at 76 FR 15662, Mar. 21, 2011.</w:t>
        </w:r>
      </w:hyperlink>
    </w:p>
    <w:p w:rsidR="007E5DDE" w:rsidRPr="007E5DDE" w:rsidRDefault="00860D78" w:rsidP="007E5DDE">
      <w:pPr>
        <w:spacing w:before="100" w:beforeAutospacing="1" w:after="100" w:afterAutospacing="1" w:line="240" w:lineRule="auto"/>
        <w:rPr>
          <w:rFonts w:ascii="Book Antiqua" w:eastAsia="Times New Roman" w:hAnsi="Book Antiqua" w:cs="Arial"/>
          <w:sz w:val="20"/>
          <w:szCs w:val="20"/>
        </w:rPr>
      </w:pPr>
      <w:hyperlink r:id="rId11" w:history="1">
        <w:r w:rsidR="007E5DDE" w:rsidRPr="007E5DDE">
          <w:rPr>
            <w:rFonts w:ascii="Book Antiqua" w:eastAsia="Times New Roman" w:hAnsi="Book Antiqua" w:cs="Arial"/>
            <w:color w:val="0000FF"/>
            <w:sz w:val="20"/>
            <w:szCs w:val="20"/>
            <w:u w:val="single"/>
          </w:rPr>
          <w:t>Link to a delay published at 76 FR 28664, May 18, 2011.</w:t>
        </w:r>
      </w:hyperlink>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theFederal Register.The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7E5DDE">
        <w:rPr>
          <w:rFonts w:ascii="Book Antiqua" w:eastAsia="Times New Roman" w:hAnsi="Book Antiqua" w:cs="Arial"/>
          <w:i/>
          <w:iCs/>
          <w:sz w:val="20"/>
          <w:szCs w:val="20"/>
        </w:rPr>
        <w:t xml:space="preserve">http://www.archives.gov/federal_register/code_of_federal_regulations/ibr_locations.html.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ASTM D523–89, Standard Test Method for Specular Gloss, IBR approved for §63.782.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ASTM D1193–77, 91, Standard Specification for Reagent Water, IBR approved for appendix A: Method 306, Sections 7.1.1 and 7.4.2.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ASTM D1331–89, Standard Test Methods for Surface and Interfacial Tension of Solutions of Surface Active Agents, IBR approved for appendix A: Method 306B, Sections 6.2, 11.1, and 12.2.2.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ASTM D1475–90, Standard Test Method for Density of Paint, Varnish Lacquer, and Related Products, IBR approved for §63.788,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ASTM D1946–77, 90, 94, Standard Method for Analysis of Reformed Gas by Gas Chromatography, IBR approved for §63.11(b)(6).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ASTM D2369–93, 95, Standard Test Method for Volatile Content of Coatings, IBR approved for §63.788,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ASTM D2382–76, 88, Heat of Combustion of Hydrocarbon Fuels by Bomb Calorimeter (High-Precision Method), IBR approved for §63.11(b)(6).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 ASTM D2879–83, 96, Test Method for Vapor Pressure-Temperature Relationship and Initial Decomposition Temperature of Liquids by Isoteniscope, IBR approved for §63.111 and §63.2406.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(9) ASTM D3257–93, Standard Test Methods for Aromatics in Mineral Spirits by Gas Chromatography, IBR approved for §63.786(b).</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(10) ASTM 3695–88, Standard Test Method for Volatile Alcohols in Water by Direct Aqueous-Injection Gas Chromatography, IBR approved for §63.365(e)(1) of subpart O.</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(11) ASTM D3792–91, Standard Method for Water Content of Water-Reducible Paints by Direct Injection into a Gas Chromatograph, IBR approved for §63.788,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(12) ASTM D3912–80, Standard Test Method for Chemical Resistance of Coatings Used in Light-Water Nuclear Power Plants, IBR approved for §63.782.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(13) ASTM D4017–90, 96a, Standard Test Method for Water in Paints and Paint Materials by the Karl Fischer Titration Method, IBR approved for §63.788,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(14) ASTM D4082–89, Standard Test Method for Effects of Gamma Radiation on Coatings for Use in Light-Water Nuclear Power Plants, IBR approved for §63.782.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(15) ASTM D4256–89, 94, Standard Test Method for Determination of the Decontaminability of Coatings Used in Light-Water Nuclear Power Plants, IBR approved for §63.782.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(16) ASTM D4809–95, Standard Test Method for Heat of Combustion of Liquid Hydrocarbon Fuels by Bomb Calorimeter (Precision Method), IBR approved for §63.11(b)(6).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(17) ASTM E180–93, Standard Practice for Determining the Precision of ASTM Methods for Analysis and Testing of Industrial Chemicals, IBR approved for §63.786(b).</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(18) ASTM E260–91, 96, General Practice for Packed Column Gas Chromatography, IBR approved for §§63.750(b)(2) and 63.786(b)(5).</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(19)–(20)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(21) ASTM D2099–00, Standard Test Method for Dynamic Water Resistance of Shoe Upper Leather by the Maeser Water Penetration Tester, IBR approved for §63.5350.</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(22)–(23)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(24) ASTM D2697–86 (Reapproved 1998), “Standard Test Method for Volume Nonvolatile Matter in Clear or Pigmented Coatings,” IBR approved for §§63.3161(f)(1), 63.3521(b)(1), 63.3941(b)(1), 63.4141(b)(1), 63.4741(b)(1), 63.4941(b)(1), and 63.5160(c).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(25) ASTM D6093–97 (Reapproved 2003), “Standard Test Method for Percent Volume Nonvolatile Matter in Clear or Pigmented Coatings Using a Helium Gas Pycnometer,” IBR approved for §§63.3161(f)(1), 63.3521(b)(1), 63.3941(b)(1), 63.4141(b)(1), 63.4741(b)(1), 63.4941(b)(1), and 63.5160(c).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(26) ASTM D1475–98 (Reapproved 2003), “Standard Test Method for Density of Liquid Coatings, Inks, and Related Products,” IBR approved for §§63.3151(b), 63.3941(b)(4), 63.3941(c), 63.3951(c), 63.4141(b)(3), 63.4141(c), and 63.4551(c).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(27) ASTM D6522–00, Standard Test Method for Determination of Nitrogen Oxides, Carbon Monoxide, and Oxygen Concentrations in Emissions from Natural Gas Fired Reciprocating Engines, Combustion Turbines, Boilers, and Process Heaters Using Portable Analyzers, IBR approved for §63.9307(c)(2).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(28) ASTM D6420–99 (Reapproved 2004), Standards Test Method for Determination of Gaseous Organic Compounds by Direct Interface Gas Chromatography-Mass Spectometry, IBR approved for §§60.485(g)(5), 60.485a(g)(5), 63.772(a)(1)(ii), 63.2354(b)(3)(i), 63.2354(b)(3)(ii), 63.2354(b)(3)(ii)(A), and 63.2351(b)(3)(ii)(B).</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(29) ASTM D6420–99, Standard Test Method for Determination of Gaseous Organic Compounds by Direct Interface Gas Chromatography-Mass Spectrometry, IBR approved for §§63.5799 and 63.5850.</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(30) ASTM E 515–95 (Reapproved 2000), Standard Test Method for Leaks Using Bubble Emission Techniques, IBR approved for §63.425(i)(2).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(31) ASTM D5291–02, Standard Test Methods for Instrumental Determination of Carbon, Hydrogen, and Nitrogen in Petroleum Products and Lubricants, IBR approved for §63.3981,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(32) ASTM D5965–02, “Standard Test Methods for Specific Gravity of Coating Powders,” IBR approved for §§63.3151(b) and 63.3951(c).</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(33) ASTM D6053–00, Standard Test Method for Determination of Volatile Organic Compound (VOC) Content of Electrical Insulating Varnishes, IBR approved for §63.3981,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(34) E145–94 (Reapproved 2001), Standard Specification for Gravity-Convection and Forced-Ventilation Ovens, IBR approved for §63.4581,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12 to subpart DDDDD of this part, and table 4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(36) ASTM D5066–91 (Reapproved 2001), “Standard Test Method for Determination of the Transfer Efficiency Under Production Conditions for Spray Application of Automotive Paints-Weight Basis,” IBR approved for §63.3161(g).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(37) ASTM D5087–02, “Standard Test Method for Determining Amount of Volatile Organic Compound (VOC) Released from Solventborne Automotive Coatings and Available for Removal in a VOC Control Device (Abatement),” IBR approved for §§63.3165(e) and 63.3176, appendix A.</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(38) ASTM D6266–00a, “Test Method for Determining the Amount of Volatile Organic Compound (VOC) Released from Waterborne Automotive Coatings and Available for Removal in a VOC Control Device (Abatement),” IBR approved for §63.3165(e).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(39) ASTM Method D388–05, Standard Classification of Coals by Rank, approved September 15, 2005, IBR approved for §63.7575 and §63.11237.</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(40) ASTM D396–10 Standard Specification for Fuel Oils, approved October 1, 2010, IBR approved for §63.7575.</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(41) ASTM Method D1835–05, Standard Specification for Liquefied Petroleum (LP) Gases, approved April 1, 2005, IBR approved for §63.7575 and §63.11237.</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(42) ASTM D2013/D2013M–09 Standard Practice for Preparing Coal Samples for Analysis, approved November 1, 2009,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(43) ASTM D2234/D2234M–10 Standard Practice for Collection of a Gross Sample of Coal, approved January 1, 2010,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(44) ASTM D3173–03 (Reapproved 2008) Standard Test Method for Moisture in the Analysis Sample of Coal and Coke, approved February 1, 2008,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(45)–(46)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(47) ASTM D5198–09 Standard Practice for Nitric Acid Digestion of Solid Waste, approved February 1, 2009,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(48) ASTM D5865–10a Standard Test Method for Gross Calorific Value of Coal and Coke, approved May 1, 2010,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(49) ASTM D6323–98 (Reapproved 2003), Standard Guide for Laboratory Subsampling of Media Related to Waste Management Activities, approved August 10, 2003,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(50) ASTM E711–87 (Reapproved 2004) Standard Test Method for Gross Calorific Value of Refuse-Derived Fuel by the Bomb Calorimeter, approved August 28, 1987,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(51) ASTM E776–87 (Reapproved 2009) Standard Test Method for Forms of Chlorine in Refuse-Derived Fuel, approved July 1, 2009, IBR approved for table 6 to subpart DDDDD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(52) ASTM E871–82 (Reapproved 2006) Standard Test Method for Moisture Analysis of Particulate Wood Fuels, approved November 1, 2006,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(53) ASTM E885–88 (Reapproved 1996), Standard Test Methods for Analyses of Metals in Refuse-Derived Fuel by Atomic Absorption Spectroscopy,</w:t>
      </w:r>
      <w:r w:rsidRPr="007E5DDE">
        <w:rPr>
          <w:rFonts w:ascii="Book Antiqua" w:eastAsia="Times New Roman" w:hAnsi="Book Antiqua" w:cs="Arial"/>
          <w:sz w:val="20"/>
          <w:szCs w:val="20"/>
          <w:vertAlign w:val="superscript"/>
        </w:rPr>
        <w:t>1</w:t>
      </w:r>
      <w:r w:rsidRPr="007E5DDE">
        <w:rPr>
          <w:rFonts w:ascii="Book Antiqua" w:eastAsia="Times New Roman" w:hAnsi="Book Antiqua" w:cs="Arial"/>
          <w:sz w:val="20"/>
          <w:szCs w:val="20"/>
        </w:rPr>
        <w:t xml:space="preserve"> IBR approved for table 6 to subpart DDDDD of this part 63.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(54) ASTM D6348–03, Standard Test Method for Determination of Gaseous Compounds by Extractive Direct Interface Fourier Transform Infrared (FTIR) Spectroscopy, incorporation by reference (IBR) approved for §63.1349(b)(4)(iii) of subpart LLL and table 4 to subpart DDDD of this part as specified in the subpart.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(55)–(56)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(57) ASTM D6721–01 (Reapproved 2006) Standard Test Method for Determination of Chlorine in Coal by Oxidative Hydrolysis Microcoulometry, approved April 1, 2006, IBR approved for table 6 to subpart DDDDD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(58)–(60)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(61) ASTM D6722–01 (Reapproved 2006) Standard Test Method for Total Mercury in Coal and Coal Combustion Residues by the Direct Combustion Analysis, approved April 1, 2006, IBR approved for Table 6 to subpart DDDDD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(63) ASTM D2216–05, “Standard Test Methods for Laboratory Determination of Water (Moisture) Content of Soil and Rock by Mass,” IBR approved for the definition of “Free organic liquids” in §63.10692.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and table 4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(65) ASTM D 5228–92—“Standard Test Method for Determination of Butane Working Capacity of Activated Carbon,” reapproved 2005, IBR approved for §63.11092(b)(1)(i)(B)( </w:t>
      </w:r>
      <w:r w:rsidRPr="007E5DDE">
        <w:rPr>
          <w:rFonts w:ascii="Book Antiqua" w:eastAsia="Times New Roman" w:hAnsi="Book Antiqua" w:cs="Arial"/>
          <w:i/>
          <w:iCs/>
          <w:sz w:val="20"/>
          <w:szCs w:val="20"/>
        </w:rPr>
        <w:t xml:space="preserve">1 </w:t>
      </w:r>
      <w:r w:rsidRPr="007E5DDE">
        <w:rPr>
          <w:rFonts w:ascii="Book Antiqua" w:eastAsia="Times New Roman" w:hAnsi="Book Antiqua" w:cs="Arial"/>
          <w:sz w:val="20"/>
          <w:szCs w:val="20"/>
        </w:rPr>
        <w:t xml:space="preserve">)( </w:t>
      </w:r>
      <w:r w:rsidRPr="007E5DDE">
        <w:rPr>
          <w:rFonts w:ascii="Book Antiqua" w:eastAsia="Times New Roman" w:hAnsi="Book Antiqua" w:cs="Arial"/>
          <w:i/>
          <w:iCs/>
          <w:sz w:val="20"/>
          <w:szCs w:val="20"/>
        </w:rPr>
        <w:t xml:space="preserve">ii </w:t>
      </w:r>
      <w:r w:rsidRPr="007E5DDE">
        <w:rPr>
          <w:rFonts w:ascii="Book Antiqua" w:eastAsia="Times New Roman" w:hAnsi="Book Antiqua" w:cs="Arial"/>
          <w:sz w:val="20"/>
          <w:szCs w:val="20"/>
        </w:rPr>
        <w: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(66) ASTM D6784–02 (Reapproved 2008), Standard Test Method for Elemental, Oxidized, Particle-Bound and Total Mercury in Flue Gas Generated from Coal-Fired Stationary Sources (Ontario Hydro Method), approved April 1, 2008, IBR approved for §63.11646(a)(1)(vi), §63.11647(a)(1)(ii), §63.11647(a)(3)(ii), and §63.11647(d).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(67) ASTM D5954–98 (Reapproved 2006), Test Method for Mercury Sampling and Measurement in Natural Gas by Atomic Absorption Spectroscopy, approved December 1, 2006, IBR approved for table 6 to subpart DDDDD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(68) ASTM D6350–98 (Reapproved 2003) Standard Test Method for Mercury Sampling and Analysis in Natural Gas by Atomic Fluorescence Spectroscopy, approved May 10, 2003, IBR approved for table 6 to subpart DDDDD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The materials listed below are available for purchase from the American Petroleum Institute (API), 1220 L Street, NW., Washington, DC 20005.</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API Publication 2517, Evaporative Loss from External Floating-Roof Tanks, Third Edition, February 1989, IBR approved for §63.111 and §63.2406.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API Publication 2518, Evaporative Loss from Fixed-roof Tanks, Second Edition, October 1991, IBR approved for §63.150(g)(3)(i)(C) of subpart G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API Manual of Petroleum Measurement Specifications (MPMS) Chapter 19.2, Evaporative Loss From Floating-Roof Tanks (formerly API Publications 2517 and 2519), First Edition, April 1997, IBR approved for §63.1251 of subpart GGG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(d) </w:t>
      </w:r>
      <w:r w:rsidRPr="007E5DDE">
        <w:rPr>
          <w:rFonts w:ascii="Book Antiqua" w:eastAsia="Times New Roman" w:hAnsi="Book Antiqua" w:cs="Arial"/>
          <w:i/>
          <w:iCs/>
          <w:sz w:val="20"/>
          <w:szCs w:val="20"/>
        </w:rPr>
        <w:t xml:space="preserve">State and Local Requirements. </w:t>
      </w:r>
      <w:r w:rsidRPr="007E5DDE">
        <w:rPr>
          <w:rFonts w:ascii="Book Antiqua" w:eastAsia="Times New Roman" w:hAnsi="Book Antiqua" w:cs="Arial"/>
          <w:sz w:val="20"/>
          <w:szCs w:val="20"/>
        </w:rPr>
        <w:t>The following materials listed below are available at the Air and Radiation Docket and Information Center, 1200 Pennsylvania Avenue, NW., Washington, DC 20460, telephone number (202) 566–1745.</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(1) </w:t>
      </w:r>
      <w:r w:rsidRPr="007E5DDE">
        <w:rPr>
          <w:rFonts w:ascii="Book Antiqua" w:eastAsia="Times New Roman" w:hAnsi="Book Antiqua" w:cs="Arial"/>
          <w:i/>
          <w:iCs/>
          <w:sz w:val="20"/>
          <w:szCs w:val="20"/>
        </w:rPr>
        <w:t xml:space="preserve">California Regulatory Requirements Applicable to the Air Toxics Program, </w:t>
      </w:r>
      <w:r w:rsidRPr="007E5DDE">
        <w:rPr>
          <w:rFonts w:ascii="Book Antiqua" w:eastAsia="Times New Roman" w:hAnsi="Book Antiqua" w:cs="Arial"/>
          <w:sz w:val="20"/>
          <w:szCs w:val="20"/>
        </w:rPr>
        <w:t>November 16, 2010, IBR approved for §63.99(a)(5)(ii)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(2) New Jersey's </w:t>
      </w:r>
      <w:r w:rsidRPr="007E5DDE">
        <w:rPr>
          <w:rFonts w:ascii="Book Antiqua" w:eastAsia="Times New Roman" w:hAnsi="Book Antiqua" w:cs="Arial"/>
          <w:i/>
          <w:iCs/>
          <w:sz w:val="20"/>
          <w:szCs w:val="20"/>
        </w:rPr>
        <w:t xml:space="preserve">Toxic Catastrophe Prevention Act Program, </w:t>
      </w:r>
      <w:r w:rsidRPr="007E5DDE">
        <w:rPr>
          <w:rFonts w:ascii="Book Antiqua" w:eastAsia="Times New Roman" w:hAnsi="Book Antiqua" w:cs="Arial"/>
          <w:sz w:val="20"/>
          <w:szCs w:val="20"/>
        </w:rPr>
        <w:t>(July 20, 1998), Incorporation By Reference approved for §63.99 (a)(30)(i)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State of Delaware Regulations Governing the Control of Air Pollution (October 2000), IBR approved for §63.99(a)(8)(ii)–(v)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§63.99(a)(22)(ii)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(5)(i) New Hampshire Regulations Applicable to Hazardous Air Pollutants, March, 2003. Incorporation by Reference approved for §63.99(a)(29)(iii)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New Hampshire Regulations Applicable to Hazardous Air Pollutants, September 2006. Incorporation by Reference approved for §63.99(a)(29)(iv)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Maine Department of Environmental Protection regulations at Chapter 125, Perchloroethylene Dry Cleaner Regulation, effective as of June 2, 1991, last amended on June 24, 2009. Incorporation By Reference approved for §63.99(a)(20)(iii)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California South Coast Air Quality Management District's “Spray Equipment Transfer Efficiency Test Procedure for Equipment User, May 24, 1989,” IBR approved for §63.11173(e) and §63.11516(d).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(8) California South Coast Air Quality Management District's “Guidelines for Demonstrating Equivalency with District Approved Transfer Efficient Spray Guns, September 26, 2002,” Revision 0, IBR approved for §§63.11173(e) and 63.11516(d).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§63.99(a)(40)(ii) of subpart 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(e) The materials listed below are available for purchase from the National Institute of Standards and Technology, Springfield, VA 22161, (800) 553–6847.</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Handbook 44, Specificiations, Tolerances, and Other Technical Requirements for Weighing and Measuring Devices 1998, IBR approved for §63.1303(e)(3).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(f) The following material is available from the National Council of the Paper Industry for Air and Stream Improvement, Inc. (NCASI), P.O. Box 133318, Research Triangle Park, NC 27709–3318 or at </w:t>
      </w:r>
      <w:r w:rsidRPr="007E5DDE">
        <w:rPr>
          <w:rFonts w:ascii="Book Antiqua" w:eastAsia="Times New Roman" w:hAnsi="Book Antiqua" w:cs="Arial"/>
          <w:i/>
          <w:iCs/>
          <w:sz w:val="20"/>
          <w:szCs w:val="20"/>
        </w:rPr>
        <w:t xml:space="preserve">http://www.ncasi.org.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NCASI Method DI/MEOH–94.02, Methanol in Process Liquids GC/FID (Gas Chromatography/Flame Ionization Detection), August 1998, Methods Manual, NCASI, Research Triangle Park, NC, IBR approved for §63.457(c)(3)(ii) of subpart S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NCASI Method CI/WP–98.01, Chilled Impinger Method For Use At Wood Products Mills to Measure Formaldehyde, Methanol, and Phenol, 1998, Methods Manual, NCASI, Research Triangle Park, NC, IBR approved for table 4 to subpart 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NCASI Method IM/CAN/WP–99.02, Impinger/Canister Source Sampling Method for Selected HAPs and Other Compounds at Wood Products Facilities, January 2004, Methods Manual, NCASI, Research Triangle Park, NC, IBR approved for table 4 to subpart 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NCASI Method ISS/FP A105.01, Impinger Source Sampling Method for Selected Aldehydes, Ketones, and Polar Compounds, December 2005, Methods Manual, NCASI, Research Triangle Park, NC, IBR approved for table 4 to subpart 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(g) The materials listed below are available for purchase from AOAC International, Customer Services, Suite 400, 2200 Wilson Boulevard, Arlington, Virginia, 22201–3301, Telephone (703) 522–3032, Fax (703) 522–5468.</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AOAC Official Method 978.01 Phosphorus (Total) in Fertilizers, Automated Method, Sixteenth edition, 1995, IBR approved for §63.626(d)(3)(vi).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AOAC Official Method 969.02 Phosphorus (Total) in Fertilizers, Alkalimetric Quinolinium Molybdophosphate Method, Sixteenth edition, 1995, IBR approved for §63.626(d)(3)(vi).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AOAC Official Method 962.02 Phosphorus (Total) in Fertilizers, Gravimetric Quinolinium Molybdophosphate Method, Sixteenth edition, 1995, IBR approved for §63.626(d)(3)(vi).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AOAC Official Method 957.02 Phosphorus (Total) in Fertilizers, Preparation of Sample Solution, Sixteenth edition, 1995, IBR approved for §63.626(d)(3)(vi).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AOAC Official Method 929.01 Sampling of Solid Fertilizers, Sixteenth edition, 1995, IBR approved for §63.626(d)(3)(vi).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AOAC Official Method 929.02 Preparation of Fertilizer Sample, Sixteenth edition, 1995, IBR approved for §63.626(d)(3)(vi).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AOAC Official Method 958.01 Phosphorus (Total) in Fertilizers, Spectrophotometric Molybdovanadophosphate Method, Sixteenth edition, 1995, IBR approved for §63.626(d)(3)(vi).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(h) The materials listed below are available for purchase from The Association of Florida Phosphate Chemists, P.O. Box 1645, Bartow, Florida, 33830, Book of Methods Used and Adopted By The Association of Florida Phosphate Chemists, Seventh Edition 1991, IBR.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Section IX, Methods of Analysis for Phosphate Rock, No. 1 Preparation of Sample, IBR approved for §63.606(c)(3)(ii) and §63.626(c)(3)(ii).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Section IX, Methods of Analysis for Phosphate Rock, No. 3 Phosphorus—P</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w:t>
      </w:r>
      <w:r w:rsidRPr="007E5DDE">
        <w:rPr>
          <w:rFonts w:ascii="Book Antiqua" w:eastAsia="Times New Roman" w:hAnsi="Book Antiqua" w:cs="Arial"/>
          <w:sz w:val="20"/>
          <w:szCs w:val="20"/>
          <w:vertAlign w:val="subscript"/>
        </w:rPr>
        <w:t>5</w:t>
      </w:r>
      <w:r w:rsidRPr="007E5DDE">
        <w:rPr>
          <w:rFonts w:ascii="Book Antiqua" w:eastAsia="Times New Roman" w:hAnsi="Book Antiqua" w:cs="Arial"/>
          <w:sz w:val="20"/>
          <w:szCs w:val="20"/>
        </w:rPr>
        <w:t>or Ca</w:t>
      </w:r>
      <w:r w:rsidRPr="007E5DDE">
        <w:rPr>
          <w:rFonts w:ascii="Book Antiqua" w:eastAsia="Times New Roman" w:hAnsi="Book Antiqua" w:cs="Arial"/>
          <w:sz w:val="20"/>
          <w:szCs w:val="20"/>
          <w:vertAlign w:val="subscript"/>
        </w:rPr>
        <w:t>3</w:t>
      </w:r>
      <w:r w:rsidRPr="007E5DDE">
        <w:rPr>
          <w:rFonts w:ascii="Book Antiqua" w:eastAsia="Times New Roman" w:hAnsi="Book Antiqua" w:cs="Arial"/>
          <w:sz w:val="20"/>
          <w:szCs w:val="20"/>
        </w:rPr>
        <w:t>(PO</w:t>
      </w:r>
      <w:r w:rsidRPr="007E5DDE">
        <w:rPr>
          <w:rFonts w:ascii="Book Antiqua" w:eastAsia="Times New Roman" w:hAnsi="Book Antiqua" w:cs="Arial"/>
          <w:sz w:val="20"/>
          <w:szCs w:val="20"/>
          <w:vertAlign w:val="subscript"/>
        </w:rPr>
        <w:t>4</w:t>
      </w:r>
      <w:r w:rsidRPr="007E5DDE">
        <w:rPr>
          <w:rFonts w:ascii="Book Antiqua" w:eastAsia="Times New Roman" w:hAnsi="Book Antiqua" w:cs="Arial"/>
          <w:sz w:val="20"/>
          <w:szCs w:val="20"/>
        </w:rPr>
        <w:t>)</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 Method A-Volumetric Method, IBR approved for §63.606(c)(3)(ii) and §63.626(c)(3)(ii).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Section IX, Methods of Analysis for Phosphate Rock, No. 3 Phosphorus-P</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w:t>
      </w:r>
      <w:r w:rsidRPr="007E5DDE">
        <w:rPr>
          <w:rFonts w:ascii="Book Antiqua" w:eastAsia="Times New Roman" w:hAnsi="Book Antiqua" w:cs="Arial"/>
          <w:sz w:val="20"/>
          <w:szCs w:val="20"/>
          <w:vertAlign w:val="subscript"/>
        </w:rPr>
        <w:t>5</w:t>
      </w:r>
      <w:r w:rsidRPr="007E5DDE">
        <w:rPr>
          <w:rFonts w:ascii="Book Antiqua" w:eastAsia="Times New Roman" w:hAnsi="Book Antiqua" w:cs="Arial"/>
          <w:sz w:val="20"/>
          <w:szCs w:val="20"/>
        </w:rPr>
        <w:t>or Ca</w:t>
      </w:r>
      <w:r w:rsidRPr="007E5DDE">
        <w:rPr>
          <w:rFonts w:ascii="Book Antiqua" w:eastAsia="Times New Roman" w:hAnsi="Book Antiqua" w:cs="Arial"/>
          <w:sz w:val="20"/>
          <w:szCs w:val="20"/>
          <w:vertAlign w:val="subscript"/>
        </w:rPr>
        <w:t>3</w:t>
      </w:r>
      <w:r w:rsidRPr="007E5DDE">
        <w:rPr>
          <w:rFonts w:ascii="Book Antiqua" w:eastAsia="Times New Roman" w:hAnsi="Book Antiqua" w:cs="Arial"/>
          <w:sz w:val="20"/>
          <w:szCs w:val="20"/>
        </w:rPr>
        <w:t>(PO</w:t>
      </w:r>
      <w:r w:rsidRPr="007E5DDE">
        <w:rPr>
          <w:rFonts w:ascii="Book Antiqua" w:eastAsia="Times New Roman" w:hAnsi="Book Antiqua" w:cs="Arial"/>
          <w:sz w:val="20"/>
          <w:szCs w:val="20"/>
          <w:vertAlign w:val="subscript"/>
        </w:rPr>
        <w:t>4</w:t>
      </w:r>
      <w:r w:rsidRPr="007E5DDE">
        <w:rPr>
          <w:rFonts w:ascii="Book Antiqua" w:eastAsia="Times New Roman" w:hAnsi="Book Antiqua" w:cs="Arial"/>
          <w:sz w:val="20"/>
          <w:szCs w:val="20"/>
        </w:rPr>
        <w:t>)</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 Method B—Gravimetric Quimociac Method, IBR approved for §63.606(c)(3)(ii) and §63.626(c)(3)(ii).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Section IX, Methods of Analysis For Phosphate Rock, No. 3 Phosphorus-P</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w:t>
      </w:r>
      <w:r w:rsidRPr="007E5DDE">
        <w:rPr>
          <w:rFonts w:ascii="Book Antiqua" w:eastAsia="Times New Roman" w:hAnsi="Book Antiqua" w:cs="Arial"/>
          <w:sz w:val="20"/>
          <w:szCs w:val="20"/>
          <w:vertAlign w:val="subscript"/>
        </w:rPr>
        <w:t>5</w:t>
      </w:r>
      <w:r w:rsidRPr="007E5DDE">
        <w:rPr>
          <w:rFonts w:ascii="Book Antiqua" w:eastAsia="Times New Roman" w:hAnsi="Book Antiqua" w:cs="Arial"/>
          <w:sz w:val="20"/>
          <w:szCs w:val="20"/>
        </w:rPr>
        <w:t>or Ca</w:t>
      </w:r>
      <w:r w:rsidRPr="007E5DDE">
        <w:rPr>
          <w:rFonts w:ascii="Book Antiqua" w:eastAsia="Times New Roman" w:hAnsi="Book Antiqua" w:cs="Arial"/>
          <w:sz w:val="20"/>
          <w:szCs w:val="20"/>
          <w:vertAlign w:val="subscript"/>
        </w:rPr>
        <w:t>3</w:t>
      </w:r>
      <w:r w:rsidRPr="007E5DDE">
        <w:rPr>
          <w:rFonts w:ascii="Book Antiqua" w:eastAsia="Times New Roman" w:hAnsi="Book Antiqua" w:cs="Arial"/>
          <w:sz w:val="20"/>
          <w:szCs w:val="20"/>
        </w:rPr>
        <w:t>(PO</w:t>
      </w:r>
      <w:r w:rsidRPr="007E5DDE">
        <w:rPr>
          <w:rFonts w:ascii="Book Antiqua" w:eastAsia="Times New Roman" w:hAnsi="Book Antiqua" w:cs="Arial"/>
          <w:sz w:val="20"/>
          <w:szCs w:val="20"/>
          <w:vertAlign w:val="subscript"/>
        </w:rPr>
        <w:t>4</w:t>
      </w:r>
      <w:r w:rsidRPr="007E5DDE">
        <w:rPr>
          <w:rFonts w:ascii="Book Antiqua" w:eastAsia="Times New Roman" w:hAnsi="Book Antiqua" w:cs="Arial"/>
          <w:sz w:val="20"/>
          <w:szCs w:val="20"/>
        </w:rPr>
        <w:t>)</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 Method C—Spectrophotometric Method, IBR approved for §63.606(c)(3)(ii) and §63.626(c)(3)(ii).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Section XI, Methods of Analysis for Phosphoric Acid, Superphosphate, Triple Superphosphate, and Ammonium Phosphates, No. 3 Total Phosphorus-P</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w:t>
      </w:r>
      <w:r w:rsidRPr="007E5DDE">
        <w:rPr>
          <w:rFonts w:ascii="Book Antiqua" w:eastAsia="Times New Roman" w:hAnsi="Book Antiqua" w:cs="Arial"/>
          <w:sz w:val="20"/>
          <w:szCs w:val="20"/>
          <w:vertAlign w:val="subscript"/>
        </w:rPr>
        <w:t>5</w:t>
      </w:r>
      <w:r w:rsidRPr="007E5DDE">
        <w:rPr>
          <w:rFonts w:ascii="Book Antiqua" w:eastAsia="Times New Roman" w:hAnsi="Book Antiqua" w:cs="Arial"/>
          <w:sz w:val="20"/>
          <w:szCs w:val="20"/>
        </w:rPr>
        <w:t>, Method A—Volumetric Method, IBR approved for §63.606(c)(3)(ii), §63.626(c)(3)(ii), and §63.626(d)(3)(v).</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Section XI, Methods of Analysis for Phosphoric Acid, Superphosphate, Triple Superphosphate, and Ammonium Phosphates, No. 3 Total Phosphorus-P</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w:t>
      </w:r>
      <w:r w:rsidRPr="007E5DDE">
        <w:rPr>
          <w:rFonts w:ascii="Book Antiqua" w:eastAsia="Times New Roman" w:hAnsi="Book Antiqua" w:cs="Arial"/>
          <w:sz w:val="20"/>
          <w:szCs w:val="20"/>
          <w:vertAlign w:val="subscript"/>
        </w:rPr>
        <w:t>5</w:t>
      </w:r>
      <w:r w:rsidRPr="007E5DDE">
        <w:rPr>
          <w:rFonts w:ascii="Book Antiqua" w:eastAsia="Times New Roman" w:hAnsi="Book Antiqua" w:cs="Arial"/>
          <w:sz w:val="20"/>
          <w:szCs w:val="20"/>
        </w:rPr>
        <w:t>, Method B—Gravimetric Quimociac Method, IBR approved for §63.606(c)(3)(ii), §63.626(c)(3)(ii), and §63.626(d)(3)(v).</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Section XI, Methods of Analysis for Phosphoric Acid, Superphosphate, Triple Superphosphate, and Ammonium Phosphates, No. 3 Total Phosphorus-P</w:t>
      </w:r>
      <w:r w:rsidRPr="007E5DDE">
        <w:rPr>
          <w:rFonts w:ascii="Book Antiqua" w:eastAsia="Times New Roman" w:hAnsi="Book Antiqua" w:cs="Arial"/>
          <w:sz w:val="20"/>
          <w:szCs w:val="20"/>
          <w:vertAlign w:val="subscript"/>
        </w:rPr>
        <w:t>2</w:t>
      </w:r>
      <w:r w:rsidRPr="007E5DDE">
        <w:rPr>
          <w:rFonts w:ascii="Book Antiqua" w:eastAsia="Times New Roman" w:hAnsi="Book Antiqua" w:cs="Arial"/>
          <w:sz w:val="20"/>
          <w:szCs w:val="20"/>
        </w:rPr>
        <w:t>O</w:t>
      </w:r>
      <w:r w:rsidRPr="007E5DDE">
        <w:rPr>
          <w:rFonts w:ascii="Book Antiqua" w:eastAsia="Times New Roman" w:hAnsi="Book Antiqua" w:cs="Arial"/>
          <w:sz w:val="20"/>
          <w:szCs w:val="20"/>
          <w:vertAlign w:val="subscript"/>
        </w:rPr>
        <w:t>5</w:t>
      </w:r>
      <w:r w:rsidRPr="007E5DDE">
        <w:rPr>
          <w:rFonts w:ascii="Book Antiqua" w:eastAsia="Times New Roman" w:hAnsi="Book Antiqua" w:cs="Arial"/>
          <w:sz w:val="20"/>
          <w:szCs w:val="20"/>
        </w:rPr>
        <w:t>, Method C—Spectrophotometric Method, IBR approved for §63.606(c)(3)(ii), §63.626(c)(3)(ii), and §63.626(d)(3)(v).</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The following materials are available for purchase from at least one of the following addresses: ASME International, Orders/Inquiries, P.O. Box 2900, Fairfield, NJ 07007–2900; or Global Engineering Documents, Sales Department, 15 Inverness Way East, Englewood, CO 80112.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63.11551(a)(2)(i)(C), table 5 to subpart DDDDD of this part, table 1 to subpart ZZZZZ of this part, and table 4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(j) The following material is available for purchase from: British Standards Institute, 389 Chiswick High Road, London W4 4AL, United Kingdom.</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BS EN 1593:1999, Non-destructive Testing: Leak Testing—Bubble Emission Techniques, IBR approved for §63.425(i)(2).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Method 0023A, “Sampling Method for Polychlorinated Dibenzo-p-Dioxins and Polychlorinated Dibenzofuran Emissions from Stationary Sources,” dated December 1996, IBR approved for §63.1208(b)(1) of subpart EEE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Method 9071B, “n-Hexane Extractable Material (HEM) for Sludge, Sediment, and Solid Samples,” dated April 1998, IBR approved for §63.7824(e) of subpart FFFFF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(iii) Method 9095A, “Paint Filter Liquids Test,” dated December 1996, IBR approved for §§63.7700(b) and 63.7765 of subpart EEEEE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(iv) Method 9095B, “Paint Filter Liquids Test,” (revision 2), dated November 2004, IBR approved for the definition of “Free organic liquids” in §63.10692, §63.10885(a)(1), and the definition of “Free liquids” in §63.10906.</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(v) SW–846 Method 74741B, Revision 2, “Mercury in Solid or Semisolid Waste (Manual Cold-Vapor Technique)” February 2007, IBR approved for §63.11647(f)(2).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following method as published in the National Institute of Occupational Safety and Health (NIOSH) test method compendium, “NIOSH Manual of Analytical Methods”, NIOSH publication no. 94-113, Fourth Edition, August 15, 1994.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 NIOSH Method 2010, “Amines, Aliphatic,” Issue 2, August 15, 1994, IBR approved for §63.7732(g)(1)(v) of subpart EEEEE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(ii)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(l) The following materials are available for purchase from the American Society of Heating, Refrigerating, and Air-Conditioning Engineers at 1791 Tullie Circle, NE., Atlanta, GA 30329 or by electronic mail at </w:t>
      </w:r>
      <w:r w:rsidRPr="007E5DDE">
        <w:rPr>
          <w:rFonts w:ascii="Book Antiqua" w:eastAsia="Times New Roman" w:hAnsi="Book Antiqua" w:cs="Arial"/>
          <w:i/>
          <w:iCs/>
          <w:sz w:val="20"/>
          <w:szCs w:val="20"/>
        </w:rPr>
        <w:t xml:space="preserve">orders@ashrae.org: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7E5DDE">
        <w:rPr>
          <w:rFonts w:ascii="Book Antiqua" w:eastAsia="Times New Roman" w:hAnsi="Book Antiqua" w:cs="Arial"/>
          <w:i/>
          <w:iCs/>
          <w:sz w:val="20"/>
          <w:szCs w:val="20"/>
        </w:rPr>
        <w:t xml:space="preserve">http://www.arb.ca.gov/vapor/vapor.htm.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California Air Resources Board Vapor Recovery Test Procedure TP–201.1.—“Volumetric Efficiency for Phase I Vapor Recovery Systems,” adopted April 12, 1996, and amended February 1, 2001 and October 8, 2003, IBR approved for §63.11120(b)(1).</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California Air Resources Board Vapor Recovery Test Procedure TP–201.1E—“Leak Rate and Cracking Pressure of Pressure/Vacuum Vent Valves,” adopted October 8, 2003, IBR approved for §63.11120(a)(1)(i).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California Air Resources Board Vapor Recovery Test Procedure TP–201.3—“Determination of 2-Inch WC Static Pressure Performance of Vapor Recovery Systems of Dispensing Facilities,” adopted April 12, 1996 and amended March 17, 1999, IBR approved for §63.11120(a)(2)(i).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(n) The following material is available from the Texas Commission on Environmental Quality (TCEQ) Library, Post Office Box 13087, Austin, Texas 78711–3087, telephone number (512) 239–0028 or at </w:t>
      </w:r>
      <w:r w:rsidRPr="007E5DDE">
        <w:rPr>
          <w:rFonts w:ascii="Book Antiqua" w:eastAsia="Times New Roman" w:hAnsi="Book Antiqua" w:cs="Arial"/>
          <w:i/>
          <w:iCs/>
          <w:sz w:val="20"/>
          <w:szCs w:val="20"/>
        </w:rPr>
        <w:t xml:space="preserve">http://www.tceq.state.tx.us/assets/public/implementation/air/sip/sipdocs/2002-12-HGB/02046sipapp_ado.pdf </w:t>
      </w:r>
      <w:r w:rsidRPr="007E5DDE">
        <w:rPr>
          <w:rFonts w:ascii="Book Antiqua" w:eastAsia="Times New Roman" w:hAnsi="Book Antiqua" w:cs="Arial"/>
          <w:sz w:val="20"/>
          <w:szCs w:val="20"/>
        </w:rPr>
        <w: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“Air Stripping Method (Modified El Paso Method) for Determination of Volatile Organic Compound Emissions from Water Sources,” Revision Number One, dated January 2003, Sampling Procedures Manual, Appendix P: Cooling Tower Monitoring, prepared by Texas Commission on Environmental Quality, January 31, 2003, IBR approved for §63.654(c)(1) and (g)(4)(i) of subpart CC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(o) The following material is available from the Bay Area Air Quality Management District (BAAQMD), 939 Ellis Street, San Francisco, California 94109, and is also available at the following Web site: </w:t>
      </w:r>
      <w:r w:rsidRPr="007E5DDE">
        <w:rPr>
          <w:rFonts w:ascii="Book Antiqua" w:eastAsia="Times New Roman" w:hAnsi="Book Antiqua" w:cs="Arial"/>
          <w:i/>
          <w:iCs/>
          <w:sz w:val="20"/>
          <w:szCs w:val="20"/>
        </w:rPr>
        <w:t xml:space="preserve">http://www.arb.ca.gov/DRDB/BA/CURHTML/ST/st30.pdf.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“BAAQMD Source Test Procedure ST–30—Static Pressure Integrity Test, Underground Storage Tanks,” adopted November 30, 1983, and amended December 21, 1994, IBR approved for §63.11120(a)(2)(iii).</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[Reserved]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(p) The following material is available from the U.S. Environmental Protection Agency, 1200 Pennsylvania Avenue, NW., Washington, DC 20460, (202) 272–0167, </w:t>
      </w:r>
      <w:r w:rsidRPr="007E5DDE">
        <w:rPr>
          <w:rFonts w:ascii="Book Antiqua" w:eastAsia="Times New Roman" w:hAnsi="Book Antiqua" w:cs="Arial"/>
          <w:i/>
          <w:iCs/>
          <w:sz w:val="20"/>
          <w:szCs w:val="20"/>
        </w:rPr>
        <w:t xml:space="preserve">http://www.epa.gov.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National Emission Standards for Hazardous Air Pollutants (NESHAP) for Integrated Iron and Steel Plants—Background Information for Proposed Standards, Final Report, EPA–453/R–01–005, January 2001, IBR approved for §63.7491(g).</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Office Of Air Quality Planning And Standards (OAQPS), Fabric Filter Bag Leak Detection Guidance, EPA–454/R–98–015, September 1997, IBR approved for §§63.548(e)(4), 63.7525(j)(2), and 63.11224(f)(2).</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SW–846–3050B, Acid Digestion of Sediments, Sludges, And Soils, Revision 2, December 1996, in EPA Publication No. SW–846, Test Methods for Evaluating Solid Waste, Physical/Chemical Methods, Third Edition,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 SW–846–9250, Chloride (Colorimetric, Automated Ferricyanide AAI), Revision 0, September 1986, in EPA Publication No. SW–846, Test Methods for Evaluating Solid Waste, Physical/Chemical Methods, Third Edition, IBR approved for table 6 to subpart DDDDD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(q) The following material is available for purchase from the International Standards Organization (ISO), 1, ch. de la Voie-Creuse, Case postale 56, CH–1211 Geneva 20, Switzerland, +41 22 749 01 11, </w:t>
      </w:r>
      <w:r w:rsidRPr="007E5DDE">
        <w:rPr>
          <w:rFonts w:ascii="Book Antiqua" w:eastAsia="Times New Roman" w:hAnsi="Book Antiqua" w:cs="Arial"/>
          <w:i/>
          <w:iCs/>
          <w:sz w:val="20"/>
          <w:szCs w:val="20"/>
        </w:rPr>
        <w:t xml:space="preserve">http://www.iso.org/iso/home.htm.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ISO 6978–1:2003(E), Natural Gas—Determination of Mercury—Part 1: Sampling of Mercury by Chemisorption on Iodine, First edition, October 15, 2003, IBR approved for table 6 to subpart DDDDD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ISO 6978–2:2003(E), Natural gas—Determination of Mercury—Part 2: Sampling of Mercury by Amalgamation on Gold/Platinum Alloy, First edition, October 15, 2003, IBR approved for table 6 to subpart DDDDD of this part.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[59 FR 12430, Mar. 16, 1994]</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b/>
          <w:bCs/>
          <w:sz w:val="20"/>
          <w:szCs w:val="20"/>
        </w:rPr>
        <w:t>Editorial Notes:</w:t>
      </w:r>
      <w:r w:rsidRPr="007E5DDE">
        <w:rPr>
          <w:rFonts w:ascii="Book Antiqua" w:eastAsia="Times New Roman" w:hAnsi="Book Antiqua" w:cs="Arial"/>
          <w:sz w:val="20"/>
          <w:szCs w:val="20"/>
        </w:rPr>
        <w:t xml:space="preserve">   For  Federal Register  citations affecting §63.14, see the List of CFR Sections Affected, which appears in the Finding Aids section of the printed volume and at </w:t>
      </w:r>
      <w:r w:rsidRPr="007E5DDE">
        <w:rPr>
          <w:rFonts w:ascii="Book Antiqua" w:eastAsia="Times New Roman" w:hAnsi="Book Antiqua" w:cs="Arial"/>
          <w:i/>
          <w:iCs/>
          <w:sz w:val="20"/>
          <w:szCs w:val="20"/>
        </w:rPr>
        <w:t xml:space="preserve">www.fdsys.gov </w:t>
      </w:r>
      <w:r w:rsidRPr="007E5DDE">
        <w:rPr>
          <w:rFonts w:ascii="Book Antiqua" w:eastAsia="Times New Roman" w:hAnsi="Book Antiqua" w:cs="Arial"/>
          <w:sz w:val="20"/>
          <w:szCs w:val="20"/>
        </w:rPr>
        <w:t xml:space="preserve">.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At 76 FR 15589, Mar. 21, 2011, §63.14 was amended by adding paragraph (b)(66), however, the amendment could not be incorporated because a paragraph (b)(66) already existed. For the convenience of the user, the added text is set forth as follows:</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63.14   Incorporation by reference.</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  *  *</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(66) ASTM D4084–07 Standard Test Method for Analysis of Hydrogen Sulfide in Gaseous Fuels (Lead Acetate Reaction Rate Method), approved June 1, 2007, IBR approved for table 6 to subpart DDDDD of this part.</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63.15   Availability of information and confidentiality.</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(a) </w:t>
      </w:r>
      <w:r w:rsidRPr="007E5DDE">
        <w:rPr>
          <w:rFonts w:ascii="Book Antiqua" w:eastAsia="Times New Roman" w:hAnsi="Book Antiqua" w:cs="Arial"/>
          <w:i/>
          <w:iCs/>
          <w:sz w:val="20"/>
          <w:szCs w:val="20"/>
        </w:rPr>
        <w:t xml:space="preserve">Availability of information. </w:t>
      </w:r>
      <w:r w:rsidRPr="007E5DDE">
        <w:rPr>
          <w:rFonts w:ascii="Book Antiqua" w:eastAsia="Times New Roman" w:hAnsi="Book Antiqua" w:cs="Arial"/>
          <w:sz w:val="20"/>
          <w:szCs w:val="20"/>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availability to the public of information provided to or otherwise obtained by the Administrator under this part shall be governed by part 2 of this chapter.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 xml:space="preserve">(b) </w:t>
      </w:r>
      <w:r w:rsidRPr="007E5DDE">
        <w:rPr>
          <w:rFonts w:ascii="Book Antiqua" w:eastAsia="Times New Roman" w:hAnsi="Book Antiqua" w:cs="Arial"/>
          <w:i/>
          <w:iCs/>
          <w:sz w:val="20"/>
          <w:szCs w:val="20"/>
        </w:rPr>
        <w:t xml:space="preserve">Confidentiality. </w:t>
      </w:r>
      <w:r w:rsidRPr="007E5DDE">
        <w:rPr>
          <w:rFonts w:ascii="Book Antiqua" w:eastAsia="Times New Roman" w:hAnsi="Book Antiqua" w:cs="Arial"/>
          <w:sz w:val="20"/>
          <w:szCs w:val="20"/>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The contents of a title V permit shall not be entitled to protection under section 114(c) of the Act; however, information submitted as part of an application for a title V permit may be entitled to protection from disclosure.</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 63.16   Performance Track Provisions.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Reduced its total HAP emissions to less than 25 tons per year;</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Reduced its emissions of each individual HAP to less than 10 tons per year; and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Reduced emissions of all HAPs covered by each MACT standard to at least the level required for full compliance with the applicable emission standard.</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[69 FR 21753, Apr. 22, 2004]</w:t>
      </w:r>
    </w:p>
    <w:p w:rsidR="007E5DDE" w:rsidRPr="007E5DDE" w:rsidRDefault="007E5DDE" w:rsidP="007E5DDE">
      <w:pPr>
        <w:spacing w:before="100" w:beforeAutospacing="1" w:after="100" w:afterAutospacing="1" w:line="240" w:lineRule="auto"/>
        <w:outlineLvl w:val="4"/>
        <w:rPr>
          <w:rFonts w:ascii="Book Antiqua" w:eastAsia="Times New Roman" w:hAnsi="Book Antiqua" w:cs="Arial"/>
          <w:b/>
          <w:bCs/>
          <w:sz w:val="20"/>
          <w:szCs w:val="20"/>
        </w:rPr>
      </w:pPr>
      <w:r w:rsidRPr="007E5DDE">
        <w:rPr>
          <w:rFonts w:ascii="Book Antiqua" w:eastAsia="Times New Roman" w:hAnsi="Book Antiqua" w:cs="Arial"/>
          <w:b/>
          <w:bCs/>
          <w:sz w:val="20"/>
          <w:szCs w:val="20"/>
        </w:rPr>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364"/>
        <w:gridCol w:w="4026"/>
      </w:tblGrid>
      <w:tr w:rsidR="007E5DDE" w:rsidRPr="007E5DDE" w:rsidTr="007E5DDE">
        <w:tc>
          <w:tcPr>
            <w:tcW w:w="0" w:type="auto"/>
            <w:tcBorders>
              <w:top w:val="single" w:sz="4" w:space="0" w:color="000000"/>
              <w:left w:val="single" w:sz="4" w:space="0" w:color="000000"/>
              <w:bottom w:val="single" w:sz="4" w:space="0" w:color="000000"/>
              <w:right w:val="single" w:sz="4" w:space="0" w:color="000000"/>
            </w:tcBorders>
            <w:vAlign w:val="bottom"/>
            <w:hideMark/>
          </w:tcPr>
          <w:p w:rsidR="007E5DDE" w:rsidRPr="007E5DDE" w:rsidRDefault="007E5DDE" w:rsidP="007E5DDE">
            <w:pPr>
              <w:spacing w:after="0" w:line="240" w:lineRule="auto"/>
              <w:jc w:val="center"/>
              <w:rPr>
                <w:rFonts w:ascii="Book Antiqua" w:eastAsia="Times New Roman" w:hAnsi="Book Antiqua" w:cs="Times New Roman"/>
                <w:b/>
                <w:bCs/>
                <w:sz w:val="20"/>
                <w:szCs w:val="20"/>
              </w:rPr>
            </w:pPr>
            <w:r w:rsidRPr="007E5DDE">
              <w:rPr>
                <w:rFonts w:ascii="Book Antiqua" w:eastAsia="Times New Roman" w:hAnsi="Book Antiqua" w:cs="Times New Roman"/>
                <w:b/>
                <w:bCs/>
                <w:sz w:val="20"/>
                <w:szCs w:val="20"/>
              </w:rPr>
              <w:t>Monitoring frequency per subpart</w:t>
            </w:r>
            <w:r w:rsidRPr="007E5DDE">
              <w:rPr>
                <w:rFonts w:ascii="Book Antiqua" w:eastAsia="Times New Roman" w:hAnsi="Book Antiqua" w:cs="Times New Roman"/>
                <w:b/>
                <w:bCs/>
                <w:sz w:val="20"/>
                <w:szCs w:val="20"/>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5DDE" w:rsidRPr="007E5DDE" w:rsidRDefault="007E5DDE" w:rsidP="007E5DDE">
            <w:pPr>
              <w:spacing w:after="0" w:line="240" w:lineRule="auto"/>
              <w:jc w:val="center"/>
              <w:rPr>
                <w:rFonts w:ascii="Book Antiqua" w:eastAsia="Times New Roman" w:hAnsi="Book Antiqua" w:cs="Times New Roman"/>
                <w:b/>
                <w:bCs/>
                <w:sz w:val="20"/>
                <w:szCs w:val="20"/>
              </w:rPr>
            </w:pPr>
            <w:r w:rsidRPr="007E5DDE">
              <w:rPr>
                <w:rFonts w:ascii="Book Antiqua" w:eastAsia="Times New Roman" w:hAnsi="Book Antiqua" w:cs="Times New Roman"/>
                <w:b/>
                <w:bCs/>
                <w:sz w:val="20"/>
                <w:szCs w:val="20"/>
              </w:rPr>
              <w:t>Detection sensitivity level</w:t>
            </w:r>
          </w:p>
        </w:tc>
      </w:tr>
      <w:tr w:rsidR="007E5DDE" w:rsidRPr="007E5DDE" w:rsidTr="007E5DDE">
        <w:tc>
          <w:tcPr>
            <w:tcW w:w="0" w:type="auto"/>
            <w:tcBorders>
              <w:top w:val="single" w:sz="4" w:space="0" w:color="000000"/>
              <w:left w:val="single" w:sz="4" w:space="0" w:color="000000"/>
              <w:bottom w:val="single" w:sz="4" w:space="0" w:color="000000"/>
              <w:right w:val="single" w:sz="4" w:space="0" w:color="000000"/>
            </w:tcBorders>
            <w:hideMark/>
          </w:tcPr>
          <w:p w:rsidR="007E5DDE" w:rsidRPr="007E5DDE" w:rsidRDefault="007E5DDE" w:rsidP="007E5DDE">
            <w:pPr>
              <w:spacing w:after="0" w:line="240" w:lineRule="auto"/>
              <w:rPr>
                <w:rFonts w:ascii="Book Antiqua" w:eastAsia="Times New Roman" w:hAnsi="Book Antiqua" w:cs="Times New Roman"/>
                <w:sz w:val="20"/>
                <w:szCs w:val="20"/>
              </w:rPr>
            </w:pPr>
            <w:r w:rsidRPr="007E5DDE">
              <w:rPr>
                <w:rFonts w:ascii="Book Antiqua" w:eastAsia="Times New Roman" w:hAnsi="Book Antiqua" w:cs="Times New Roman"/>
                <w:sz w:val="20"/>
                <w:szCs w:val="20"/>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7E5DDE" w:rsidRPr="007E5DDE" w:rsidRDefault="007E5DDE" w:rsidP="007E5DDE">
            <w:pPr>
              <w:spacing w:after="0" w:line="240" w:lineRule="auto"/>
              <w:jc w:val="right"/>
              <w:rPr>
                <w:rFonts w:ascii="Book Antiqua" w:eastAsia="Times New Roman" w:hAnsi="Book Antiqua" w:cs="Times New Roman"/>
                <w:sz w:val="20"/>
                <w:szCs w:val="20"/>
              </w:rPr>
            </w:pPr>
            <w:r w:rsidRPr="007E5DDE">
              <w:rPr>
                <w:rFonts w:ascii="Book Antiqua" w:eastAsia="Times New Roman" w:hAnsi="Book Antiqua" w:cs="Times New Roman"/>
                <w:sz w:val="20"/>
                <w:szCs w:val="20"/>
              </w:rPr>
              <w:t>60</w:t>
            </w:r>
          </w:p>
        </w:tc>
      </w:tr>
      <w:tr w:rsidR="007E5DDE" w:rsidRPr="007E5DDE" w:rsidTr="007E5DDE">
        <w:tc>
          <w:tcPr>
            <w:tcW w:w="0" w:type="auto"/>
            <w:tcBorders>
              <w:top w:val="single" w:sz="4" w:space="0" w:color="000000"/>
              <w:left w:val="single" w:sz="4" w:space="0" w:color="000000"/>
              <w:bottom w:val="single" w:sz="4" w:space="0" w:color="000000"/>
              <w:right w:val="single" w:sz="4" w:space="0" w:color="000000"/>
            </w:tcBorders>
            <w:hideMark/>
          </w:tcPr>
          <w:p w:rsidR="007E5DDE" w:rsidRPr="007E5DDE" w:rsidRDefault="007E5DDE" w:rsidP="007E5DDE">
            <w:pPr>
              <w:spacing w:after="0" w:line="240" w:lineRule="auto"/>
              <w:rPr>
                <w:rFonts w:ascii="Book Antiqua" w:eastAsia="Times New Roman" w:hAnsi="Book Antiqua" w:cs="Times New Roman"/>
                <w:sz w:val="20"/>
                <w:szCs w:val="20"/>
              </w:rPr>
            </w:pPr>
            <w:r w:rsidRPr="007E5DDE">
              <w:rPr>
                <w:rFonts w:ascii="Book Antiqua" w:eastAsia="Times New Roman" w:hAnsi="Book Antiqua" w:cs="Times New Roman"/>
                <w:sz w:val="20"/>
                <w:szCs w:val="20"/>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7E5DDE" w:rsidRPr="007E5DDE" w:rsidRDefault="007E5DDE" w:rsidP="007E5DDE">
            <w:pPr>
              <w:spacing w:after="0" w:line="240" w:lineRule="auto"/>
              <w:jc w:val="right"/>
              <w:rPr>
                <w:rFonts w:ascii="Book Antiqua" w:eastAsia="Times New Roman" w:hAnsi="Book Antiqua" w:cs="Times New Roman"/>
                <w:sz w:val="20"/>
                <w:szCs w:val="20"/>
              </w:rPr>
            </w:pPr>
            <w:r w:rsidRPr="007E5DDE">
              <w:rPr>
                <w:rFonts w:ascii="Book Antiqua" w:eastAsia="Times New Roman" w:hAnsi="Book Antiqua" w:cs="Times New Roman"/>
                <w:sz w:val="20"/>
                <w:szCs w:val="20"/>
              </w:rPr>
              <w:t>85</w:t>
            </w:r>
          </w:p>
        </w:tc>
      </w:tr>
      <w:tr w:rsidR="007E5DDE" w:rsidRPr="007E5DDE" w:rsidTr="007E5DDE">
        <w:tc>
          <w:tcPr>
            <w:tcW w:w="0" w:type="auto"/>
            <w:tcBorders>
              <w:top w:val="single" w:sz="4" w:space="0" w:color="000000"/>
              <w:left w:val="single" w:sz="4" w:space="0" w:color="000000"/>
              <w:bottom w:val="single" w:sz="4" w:space="0" w:color="000000"/>
              <w:right w:val="single" w:sz="4" w:space="0" w:color="000000"/>
            </w:tcBorders>
            <w:hideMark/>
          </w:tcPr>
          <w:p w:rsidR="007E5DDE" w:rsidRPr="007E5DDE" w:rsidRDefault="007E5DDE" w:rsidP="007E5DDE">
            <w:pPr>
              <w:spacing w:after="0" w:line="240" w:lineRule="auto"/>
              <w:rPr>
                <w:rFonts w:ascii="Book Antiqua" w:eastAsia="Times New Roman" w:hAnsi="Book Antiqua" w:cs="Times New Roman"/>
                <w:sz w:val="20"/>
                <w:szCs w:val="20"/>
              </w:rPr>
            </w:pPr>
            <w:r w:rsidRPr="007E5DDE">
              <w:rPr>
                <w:rFonts w:ascii="Book Antiqua" w:eastAsia="Times New Roman" w:hAnsi="Book Antiqua" w:cs="Times New Roman"/>
                <w:sz w:val="20"/>
                <w:szCs w:val="20"/>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7E5DDE" w:rsidRPr="007E5DDE" w:rsidRDefault="007E5DDE" w:rsidP="007E5DDE">
            <w:pPr>
              <w:spacing w:after="0" w:line="240" w:lineRule="auto"/>
              <w:jc w:val="right"/>
              <w:rPr>
                <w:rFonts w:ascii="Book Antiqua" w:eastAsia="Times New Roman" w:hAnsi="Book Antiqua" w:cs="Times New Roman"/>
                <w:sz w:val="20"/>
                <w:szCs w:val="20"/>
              </w:rPr>
            </w:pPr>
            <w:r w:rsidRPr="007E5DDE">
              <w:rPr>
                <w:rFonts w:ascii="Book Antiqua" w:eastAsia="Times New Roman" w:hAnsi="Book Antiqua" w:cs="Times New Roman"/>
                <w:sz w:val="20"/>
                <w:szCs w:val="20"/>
              </w:rPr>
              <w:t>100</w:t>
            </w:r>
          </w:p>
        </w:tc>
      </w:tr>
    </w:tbl>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vertAlign w:val="superscript"/>
        </w:rPr>
        <w:t>a</w:t>
      </w:r>
      <w:r w:rsidRPr="007E5DDE">
        <w:rPr>
          <w:rFonts w:ascii="Book Antiqua" w:eastAsia="Times New Roman" w:hAnsi="Book Antiqua" w:cs="Arial"/>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7E5DDE" w:rsidRPr="007E5DDE" w:rsidRDefault="007E5DDE" w:rsidP="007E5DDE">
      <w:pPr>
        <w:spacing w:before="100" w:beforeAutospacing="1" w:after="100" w:afterAutospacing="1" w:line="240" w:lineRule="auto"/>
        <w:rPr>
          <w:rFonts w:ascii="Book Antiqua" w:eastAsia="Times New Roman" w:hAnsi="Book Antiqua" w:cs="Arial"/>
          <w:sz w:val="20"/>
          <w:szCs w:val="20"/>
        </w:rPr>
      </w:pPr>
      <w:r w:rsidRPr="007E5DDE">
        <w:rPr>
          <w:rFonts w:ascii="Book Antiqua" w:eastAsia="Times New Roman" w:hAnsi="Book Antiqua" w:cs="Arial"/>
          <w:sz w:val="20"/>
          <w:szCs w:val="20"/>
        </w:rPr>
        <w:t>[73 FR 78213, Dec. 22, 2008]</w:t>
      </w:r>
    </w:p>
    <w:p w:rsidR="00BC2843" w:rsidRDefault="00BC2843"/>
    <w:sectPr w:rsidR="00BC2843" w:rsidSect="00BC2843">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DDE" w:rsidRDefault="007E5DDE" w:rsidP="007E5DDE">
      <w:pPr>
        <w:spacing w:after="0" w:line="240" w:lineRule="auto"/>
      </w:pPr>
      <w:r>
        <w:separator/>
      </w:r>
    </w:p>
  </w:endnote>
  <w:endnote w:type="continuationSeparator" w:id="0">
    <w:p w:rsidR="007E5DDE" w:rsidRDefault="007E5DDE" w:rsidP="007E5D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54" w:rsidRDefault="006A555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4079"/>
      <w:docPartObj>
        <w:docPartGallery w:val="Page Numbers (Bottom of Page)"/>
        <w:docPartUnique/>
      </w:docPartObj>
    </w:sdtPr>
    <w:sdtEndPr>
      <w:rPr>
        <w:rFonts w:ascii="Book Antiqua" w:hAnsi="Book Antiqua"/>
        <w:sz w:val="20"/>
        <w:szCs w:val="20"/>
      </w:rPr>
    </w:sdtEndPr>
    <w:sdtContent>
      <w:p w:rsidR="007E5DDE" w:rsidRPr="007E5DDE" w:rsidRDefault="00860D78">
        <w:pPr>
          <w:pStyle w:val="Footer"/>
          <w:jc w:val="center"/>
          <w:rPr>
            <w:rFonts w:ascii="Book Antiqua" w:hAnsi="Book Antiqua"/>
            <w:sz w:val="20"/>
            <w:szCs w:val="20"/>
          </w:rPr>
        </w:pPr>
        <w:r w:rsidRPr="007E5DDE">
          <w:rPr>
            <w:rFonts w:ascii="Book Antiqua" w:hAnsi="Book Antiqua"/>
            <w:sz w:val="20"/>
            <w:szCs w:val="20"/>
          </w:rPr>
          <w:fldChar w:fldCharType="begin"/>
        </w:r>
        <w:r w:rsidR="007E5DDE" w:rsidRPr="007E5DDE">
          <w:rPr>
            <w:rFonts w:ascii="Book Antiqua" w:hAnsi="Book Antiqua"/>
            <w:sz w:val="20"/>
            <w:szCs w:val="20"/>
          </w:rPr>
          <w:instrText xml:space="preserve"> PAGE   \* MERGEFORMAT </w:instrText>
        </w:r>
        <w:r w:rsidRPr="007E5DDE">
          <w:rPr>
            <w:rFonts w:ascii="Book Antiqua" w:hAnsi="Book Antiqua"/>
            <w:sz w:val="20"/>
            <w:szCs w:val="20"/>
          </w:rPr>
          <w:fldChar w:fldCharType="separate"/>
        </w:r>
        <w:r w:rsidR="007F3590">
          <w:rPr>
            <w:rFonts w:ascii="Book Antiqua" w:hAnsi="Book Antiqua"/>
            <w:noProof/>
            <w:sz w:val="20"/>
            <w:szCs w:val="20"/>
          </w:rPr>
          <w:t>21</w:t>
        </w:r>
        <w:r w:rsidRPr="007E5DDE">
          <w:rPr>
            <w:rFonts w:ascii="Book Antiqua" w:hAnsi="Book Antiqua"/>
            <w:sz w:val="20"/>
            <w:szCs w:val="20"/>
          </w:rPr>
          <w:fldChar w:fldCharType="end"/>
        </w:r>
      </w:p>
    </w:sdtContent>
  </w:sdt>
  <w:p w:rsidR="007E5DDE" w:rsidRDefault="007E5DD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54" w:rsidRDefault="006A55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DDE" w:rsidRDefault="007E5DDE" w:rsidP="007E5DDE">
      <w:pPr>
        <w:spacing w:after="0" w:line="240" w:lineRule="auto"/>
      </w:pPr>
      <w:r>
        <w:separator/>
      </w:r>
    </w:p>
  </w:footnote>
  <w:footnote w:type="continuationSeparator" w:id="0">
    <w:p w:rsidR="007E5DDE" w:rsidRDefault="007E5DDE" w:rsidP="007E5D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54" w:rsidRDefault="006A555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54" w:rsidRDefault="006A555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54" w:rsidRDefault="006A555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rsids>
    <w:rsidRoot w:val="007E5DDE"/>
    <w:rsid w:val="006A5554"/>
    <w:rsid w:val="007E5DDE"/>
    <w:rsid w:val="007F3590"/>
    <w:rsid w:val="00860D78"/>
    <w:rsid w:val="00BC2843"/>
    <w:rsid w:val="00EC4E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843"/>
  </w:style>
  <w:style w:type="paragraph" w:styleId="Heading5">
    <w:name w:val="heading 5"/>
    <w:basedOn w:val="Normal"/>
    <w:link w:val="Heading5Char"/>
    <w:uiPriority w:val="9"/>
    <w:qFormat/>
    <w:rsid w:val="007E5DDE"/>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7E5DDE"/>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7E5DDE"/>
    <w:rPr>
      <w:color w:val="0000FF"/>
      <w:u w:val="single"/>
    </w:rPr>
  </w:style>
  <w:style w:type="character" w:styleId="FollowedHyperlink">
    <w:name w:val="FollowedHyperlink"/>
    <w:basedOn w:val="DefaultParagraphFont"/>
    <w:uiPriority w:val="99"/>
    <w:semiHidden/>
    <w:unhideWhenUsed/>
    <w:rsid w:val="007E5DDE"/>
    <w:rPr>
      <w:color w:val="800080"/>
      <w:u w:val="single"/>
    </w:rPr>
  </w:style>
  <w:style w:type="paragraph" w:customStyle="1" w:styleId="td">
    <w:name w:val="td"/>
    <w:basedOn w:val="Normal"/>
    <w:rsid w:val="007E5DDE"/>
    <w:pPr>
      <w:spacing w:before="100" w:beforeAutospacing="1" w:after="100" w:afterAutospacing="1" w:line="240" w:lineRule="auto"/>
    </w:pPr>
    <w:rPr>
      <w:rFonts w:ascii="Arial" w:eastAsia="Times New Roman" w:hAnsi="Arial" w:cs="Arial"/>
      <w:sz w:val="14"/>
      <w:szCs w:val="14"/>
    </w:rPr>
  </w:style>
  <w:style w:type="paragraph" w:customStyle="1" w:styleId="tr">
    <w:name w:val="tr"/>
    <w:basedOn w:val="Normal"/>
    <w:rsid w:val="007E5DDE"/>
    <w:pPr>
      <w:spacing w:before="100" w:beforeAutospacing="1" w:after="100" w:afterAutospacing="1" w:line="240" w:lineRule="auto"/>
    </w:pPr>
    <w:rPr>
      <w:rFonts w:ascii="Arial" w:eastAsia="Times New Roman" w:hAnsi="Arial" w:cs="Arial"/>
      <w:sz w:val="14"/>
      <w:szCs w:val="14"/>
    </w:rPr>
  </w:style>
  <w:style w:type="paragraph" w:customStyle="1" w:styleId="h1">
    <w:name w:val="h1"/>
    <w:basedOn w:val="Normal"/>
    <w:rsid w:val="007E5DDE"/>
    <w:pPr>
      <w:spacing w:before="100" w:beforeAutospacing="1" w:after="100" w:afterAutospacing="1" w:line="360" w:lineRule="atLeast"/>
    </w:pPr>
    <w:rPr>
      <w:rFonts w:ascii="Arial" w:eastAsia="Times New Roman" w:hAnsi="Arial" w:cs="Arial"/>
      <w:b/>
      <w:bCs/>
      <w:sz w:val="18"/>
      <w:szCs w:val="18"/>
    </w:rPr>
  </w:style>
  <w:style w:type="paragraph" w:customStyle="1" w:styleId="h2">
    <w:name w:val="h2"/>
    <w:basedOn w:val="Normal"/>
    <w:rsid w:val="007E5DDE"/>
    <w:pPr>
      <w:spacing w:before="100" w:beforeAutospacing="1" w:after="0" w:line="240" w:lineRule="auto"/>
    </w:pPr>
    <w:rPr>
      <w:rFonts w:ascii="Arial" w:eastAsia="Times New Roman" w:hAnsi="Arial" w:cs="Arial"/>
      <w:b/>
      <w:bCs/>
      <w:color w:val="000000"/>
      <w:sz w:val="16"/>
      <w:szCs w:val="16"/>
    </w:rPr>
  </w:style>
  <w:style w:type="paragraph" w:customStyle="1" w:styleId="h3">
    <w:name w:val="h3"/>
    <w:basedOn w:val="Normal"/>
    <w:rsid w:val="007E5DDE"/>
    <w:pPr>
      <w:spacing w:before="100" w:beforeAutospacing="1" w:after="0" w:line="240" w:lineRule="auto"/>
    </w:pPr>
    <w:rPr>
      <w:rFonts w:ascii="Arial" w:eastAsia="Times New Roman" w:hAnsi="Arial" w:cs="Arial"/>
      <w:b/>
      <w:bCs/>
      <w:sz w:val="14"/>
      <w:szCs w:val="14"/>
    </w:rPr>
  </w:style>
  <w:style w:type="paragraph" w:customStyle="1" w:styleId="Caption1">
    <w:name w:val="Caption1"/>
    <w:basedOn w:val="Normal"/>
    <w:rsid w:val="007E5DDE"/>
    <w:pPr>
      <w:spacing w:before="100" w:beforeAutospacing="1" w:after="0" w:line="240" w:lineRule="auto"/>
    </w:pPr>
    <w:rPr>
      <w:rFonts w:ascii="Arial" w:eastAsia="Times New Roman" w:hAnsi="Arial" w:cs="Arial"/>
      <w:b/>
      <w:bCs/>
      <w:sz w:val="14"/>
      <w:szCs w:val="14"/>
    </w:rPr>
  </w:style>
  <w:style w:type="paragraph" w:customStyle="1" w:styleId="Footer1">
    <w:name w:val="Footer1"/>
    <w:basedOn w:val="Normal"/>
    <w:rsid w:val="007E5DDE"/>
    <w:pPr>
      <w:spacing w:before="100" w:beforeAutospacing="1" w:after="100" w:afterAutospacing="1" w:line="240" w:lineRule="auto"/>
      <w:jc w:val="center"/>
    </w:pPr>
    <w:rPr>
      <w:rFonts w:ascii="Arial" w:eastAsia="Times New Roman" w:hAnsi="Arial" w:cs="Arial"/>
      <w:sz w:val="12"/>
      <w:szCs w:val="12"/>
    </w:rPr>
  </w:style>
  <w:style w:type="paragraph" w:customStyle="1" w:styleId="top">
    <w:name w:val="top"/>
    <w:basedOn w:val="Normal"/>
    <w:rsid w:val="007E5DDE"/>
    <w:pPr>
      <w:spacing w:before="100" w:beforeAutospacing="1" w:after="100" w:afterAutospacing="1" w:line="240" w:lineRule="auto"/>
      <w:jc w:val="right"/>
    </w:pPr>
    <w:rPr>
      <w:rFonts w:ascii="Arial" w:eastAsia="Times New Roman" w:hAnsi="Arial" w:cs="Arial"/>
      <w:sz w:val="12"/>
      <w:szCs w:val="12"/>
    </w:rPr>
  </w:style>
  <w:style w:type="paragraph" w:customStyle="1" w:styleId="tablespacing">
    <w:name w:val="tablespacing"/>
    <w:basedOn w:val="Normal"/>
    <w:rsid w:val="007E5D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mall">
    <w:name w:val="fontsmall"/>
    <w:basedOn w:val="Normal"/>
    <w:rsid w:val="007E5DDE"/>
    <w:pPr>
      <w:spacing w:before="100" w:beforeAutospacing="1" w:after="100" w:afterAutospacing="1" w:line="240" w:lineRule="auto"/>
    </w:pPr>
    <w:rPr>
      <w:rFonts w:ascii="Arial" w:eastAsia="Times New Roman" w:hAnsi="Arial" w:cs="Arial"/>
      <w:sz w:val="13"/>
      <w:szCs w:val="13"/>
    </w:rPr>
  </w:style>
  <w:style w:type="paragraph" w:customStyle="1" w:styleId="navigation">
    <w:name w:val="navigation"/>
    <w:basedOn w:val="Normal"/>
    <w:rsid w:val="007E5DDE"/>
    <w:pPr>
      <w:spacing w:before="100" w:beforeAutospacing="1" w:after="100" w:afterAutospacing="1" w:line="240" w:lineRule="auto"/>
    </w:pPr>
    <w:rPr>
      <w:rFonts w:ascii="Arial" w:eastAsia="Times New Roman" w:hAnsi="Arial" w:cs="Arial"/>
      <w:sz w:val="12"/>
      <w:szCs w:val="12"/>
    </w:rPr>
  </w:style>
  <w:style w:type="paragraph" w:customStyle="1" w:styleId="invisiblelink">
    <w:name w:val="invisiblelink"/>
    <w:basedOn w:val="Normal"/>
    <w:rsid w:val="007E5DDE"/>
    <w:pPr>
      <w:spacing w:before="100" w:beforeAutospacing="1" w:after="100" w:afterAutospacing="1" w:line="240" w:lineRule="auto"/>
    </w:pPr>
    <w:rPr>
      <w:rFonts w:ascii="Arial" w:eastAsia="Times New Roman" w:hAnsi="Arial" w:cs="Arial"/>
      <w:color w:val="FFFFFF"/>
      <w:sz w:val="12"/>
      <w:szCs w:val="12"/>
    </w:rPr>
  </w:style>
  <w:style w:type="paragraph" w:customStyle="1" w:styleId="toplogo">
    <w:name w:val="toplogo"/>
    <w:basedOn w:val="Normal"/>
    <w:rsid w:val="007E5DDE"/>
    <w:pPr>
      <w:spacing w:before="100" w:beforeAutospacing="1" w:after="0" w:line="240" w:lineRule="auto"/>
    </w:pPr>
    <w:rPr>
      <w:rFonts w:ascii="Arial" w:eastAsia="Times New Roman" w:hAnsi="Arial" w:cs="Arial"/>
      <w:b/>
      <w:bCs/>
      <w:sz w:val="16"/>
      <w:szCs w:val="16"/>
    </w:rPr>
  </w:style>
  <w:style w:type="paragraph" w:customStyle="1" w:styleId="search">
    <w:name w:val="search"/>
    <w:basedOn w:val="Normal"/>
    <w:rsid w:val="007E5DDE"/>
    <w:pPr>
      <w:spacing w:before="100" w:beforeAutospacing="1" w:after="100" w:afterAutospacing="1" w:line="240" w:lineRule="auto"/>
    </w:pPr>
    <w:rPr>
      <w:rFonts w:ascii="Arial" w:eastAsia="Times New Roman" w:hAnsi="Arial" w:cs="Arial"/>
      <w:sz w:val="12"/>
      <w:szCs w:val="12"/>
    </w:rPr>
  </w:style>
  <w:style w:type="paragraph" w:customStyle="1" w:styleId="side">
    <w:name w:val="side"/>
    <w:basedOn w:val="Normal"/>
    <w:rsid w:val="007E5DDE"/>
    <w:pPr>
      <w:spacing w:before="100" w:beforeAutospacing="1" w:after="100" w:afterAutospacing="1" w:line="240" w:lineRule="auto"/>
    </w:pPr>
    <w:rPr>
      <w:rFonts w:ascii="Arial" w:eastAsia="Times New Roman" w:hAnsi="Arial" w:cs="Arial"/>
      <w:sz w:val="14"/>
      <w:szCs w:val="14"/>
    </w:rPr>
  </w:style>
  <w:style w:type="paragraph" w:customStyle="1" w:styleId="subparagraph">
    <w:name w:val="subparagraph"/>
    <w:basedOn w:val="Normal"/>
    <w:rsid w:val="007E5DDE"/>
    <w:pPr>
      <w:spacing w:before="100" w:beforeAutospacing="1" w:after="100" w:afterAutospacing="1" w:line="240" w:lineRule="auto"/>
    </w:pPr>
    <w:rPr>
      <w:rFonts w:ascii="Arial" w:eastAsia="Times New Roman" w:hAnsi="Arial" w:cs="Arial"/>
      <w:sz w:val="14"/>
      <w:szCs w:val="14"/>
    </w:rPr>
  </w:style>
  <w:style w:type="paragraph" w:customStyle="1" w:styleId="head">
    <w:name w:val="head"/>
    <w:basedOn w:val="Normal"/>
    <w:rsid w:val="007E5DDE"/>
    <w:pPr>
      <w:spacing w:before="100" w:beforeAutospacing="1" w:after="100" w:afterAutospacing="1" w:line="240" w:lineRule="auto"/>
    </w:pPr>
    <w:rPr>
      <w:rFonts w:ascii="Arial" w:eastAsia="Times New Roman" w:hAnsi="Arial" w:cs="Arial"/>
      <w:b/>
      <w:bCs/>
      <w:sz w:val="21"/>
      <w:szCs w:val="21"/>
    </w:rPr>
  </w:style>
  <w:style w:type="paragraph" w:customStyle="1" w:styleId="recentupdateslink">
    <w:name w:val="recentupdateslink"/>
    <w:basedOn w:val="Normal"/>
    <w:rsid w:val="007E5DDE"/>
    <w:pPr>
      <w:spacing w:before="100" w:beforeAutospacing="1" w:after="100" w:afterAutospacing="1" w:line="240" w:lineRule="auto"/>
    </w:pPr>
    <w:rPr>
      <w:rFonts w:ascii="Arial" w:eastAsia="Times New Roman" w:hAnsi="Arial" w:cs="Arial"/>
      <w:b/>
      <w:bCs/>
      <w:sz w:val="14"/>
      <w:szCs w:val="14"/>
    </w:rPr>
  </w:style>
  <w:style w:type="paragraph" w:customStyle="1" w:styleId="updatetitle">
    <w:name w:val="updatetitle"/>
    <w:basedOn w:val="Normal"/>
    <w:rsid w:val="007E5DDE"/>
    <w:pPr>
      <w:spacing w:before="100" w:beforeAutospacing="1" w:after="100" w:afterAutospacing="1" w:line="240" w:lineRule="auto"/>
      <w:ind w:firstLine="100"/>
    </w:pPr>
    <w:rPr>
      <w:rFonts w:ascii="Arial" w:eastAsia="Times New Roman" w:hAnsi="Arial" w:cs="Arial"/>
      <w:b/>
      <w:bCs/>
      <w:color w:val="FF0000"/>
      <w:sz w:val="16"/>
      <w:szCs w:val="16"/>
    </w:rPr>
  </w:style>
  <w:style w:type="paragraph" w:customStyle="1" w:styleId="updatebodytest">
    <w:name w:val="updatebodytest"/>
    <w:basedOn w:val="Normal"/>
    <w:rsid w:val="007E5DDE"/>
    <w:pPr>
      <w:spacing w:before="100" w:beforeAutospacing="1" w:after="100" w:afterAutospacing="1" w:line="240" w:lineRule="auto"/>
    </w:pPr>
    <w:rPr>
      <w:rFonts w:ascii="Arial" w:eastAsia="Times New Roman" w:hAnsi="Arial" w:cs="Arial"/>
      <w:sz w:val="14"/>
      <w:szCs w:val="14"/>
    </w:rPr>
  </w:style>
  <w:style w:type="paragraph" w:customStyle="1" w:styleId="updatebold">
    <w:name w:val="updatebold"/>
    <w:basedOn w:val="Normal"/>
    <w:rsid w:val="007E5DDE"/>
    <w:pPr>
      <w:spacing w:before="100" w:beforeAutospacing="1" w:after="100" w:afterAutospacing="1" w:line="240" w:lineRule="auto"/>
    </w:pPr>
    <w:rPr>
      <w:rFonts w:ascii="Arial" w:eastAsia="Times New Roman" w:hAnsi="Arial" w:cs="Arial"/>
      <w:b/>
      <w:bCs/>
      <w:sz w:val="14"/>
      <w:szCs w:val="14"/>
    </w:rPr>
  </w:style>
  <w:style w:type="paragraph" w:customStyle="1" w:styleId="body">
    <w:name w:val="body"/>
    <w:basedOn w:val="Normal"/>
    <w:rsid w:val="007E5DDE"/>
    <w:pPr>
      <w:shd w:val="clear" w:color="auto" w:fill="FFFFFF"/>
      <w:spacing w:before="100" w:beforeAutospacing="1" w:after="100" w:afterAutospacing="1" w:line="240" w:lineRule="auto"/>
    </w:pPr>
    <w:rPr>
      <w:rFonts w:ascii="Arial" w:eastAsia="Times New Roman" w:hAnsi="Arial" w:cs="Arial"/>
      <w:color w:val="000000"/>
      <w:sz w:val="24"/>
      <w:szCs w:val="24"/>
    </w:rPr>
  </w:style>
  <w:style w:type="paragraph" w:customStyle="1" w:styleId="a">
    <w:name w:val="a"/>
    <w:basedOn w:val="Normal"/>
    <w:rsid w:val="007E5DDE"/>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p">
    <w:name w:val="p"/>
    <w:basedOn w:val="Normal"/>
    <w:rsid w:val="007E5DDE"/>
    <w:pPr>
      <w:spacing w:before="100" w:beforeAutospacing="1" w:after="100" w:afterAutospacing="1" w:line="240" w:lineRule="auto"/>
      <w:jc w:val="center"/>
    </w:pPr>
    <w:rPr>
      <w:rFonts w:ascii="Arial" w:eastAsia="Times New Roman" w:hAnsi="Arial" w:cs="Arial"/>
      <w:sz w:val="24"/>
      <w:szCs w:val="24"/>
    </w:rPr>
  </w:style>
  <w:style w:type="paragraph" w:customStyle="1" w:styleId="title">
    <w:name w:val="title"/>
    <w:basedOn w:val="Normal"/>
    <w:rsid w:val="007E5DDE"/>
    <w:pPr>
      <w:spacing w:before="100" w:beforeAutospacing="1" w:after="100" w:afterAutospacing="1" w:line="240" w:lineRule="auto"/>
    </w:pPr>
    <w:rPr>
      <w:rFonts w:ascii="Arial" w:eastAsia="Times New Roman" w:hAnsi="Arial" w:cs="Arial"/>
      <w:b/>
      <w:bCs/>
      <w:sz w:val="23"/>
      <w:szCs w:val="23"/>
    </w:rPr>
  </w:style>
  <w:style w:type="paragraph" w:customStyle="1" w:styleId="subtitle">
    <w:name w:val="subtitle"/>
    <w:basedOn w:val="Normal"/>
    <w:rsid w:val="007E5DDE"/>
    <w:pPr>
      <w:spacing w:before="100" w:beforeAutospacing="1" w:after="100" w:afterAutospacing="1" w:line="240" w:lineRule="auto"/>
    </w:pPr>
    <w:rPr>
      <w:rFonts w:ascii="Arial" w:eastAsia="Times New Roman" w:hAnsi="Arial" w:cs="Arial"/>
      <w:b/>
      <w:bCs/>
      <w:sz w:val="16"/>
      <w:szCs w:val="16"/>
    </w:rPr>
  </w:style>
  <w:style w:type="paragraph" w:customStyle="1" w:styleId="mainheader">
    <w:name w:val="mainheader"/>
    <w:basedOn w:val="Normal"/>
    <w:rsid w:val="007E5DDE"/>
    <w:pPr>
      <w:spacing w:before="100" w:beforeAutospacing="1" w:after="100" w:afterAutospacing="1" w:line="240" w:lineRule="auto"/>
    </w:pPr>
    <w:rPr>
      <w:rFonts w:ascii="Times New Roman" w:eastAsia="Times New Roman" w:hAnsi="Times New Roman" w:cs="Times New Roman"/>
      <w:b/>
      <w:bCs/>
      <w:sz w:val="31"/>
      <w:szCs w:val="31"/>
    </w:rPr>
  </w:style>
  <w:style w:type="paragraph" w:customStyle="1" w:styleId="chapter">
    <w:name w:val="chapter"/>
    <w:basedOn w:val="Normal"/>
    <w:rsid w:val="007E5DDE"/>
    <w:pPr>
      <w:spacing w:before="100" w:beforeAutospacing="1" w:after="100" w:afterAutospacing="1" w:line="240" w:lineRule="auto"/>
    </w:pPr>
    <w:rPr>
      <w:rFonts w:ascii="Arial" w:eastAsia="Times New Roman" w:hAnsi="Arial" w:cs="Arial"/>
      <w:b/>
      <w:bCs/>
      <w:sz w:val="18"/>
      <w:szCs w:val="18"/>
    </w:rPr>
  </w:style>
  <w:style w:type="paragraph" w:customStyle="1" w:styleId="subchapter">
    <w:name w:val="subchapter"/>
    <w:basedOn w:val="Normal"/>
    <w:rsid w:val="007E5DDE"/>
    <w:pPr>
      <w:spacing w:before="100" w:beforeAutospacing="1" w:after="100" w:afterAutospacing="1" w:line="240" w:lineRule="auto"/>
    </w:pPr>
    <w:rPr>
      <w:rFonts w:ascii="Arial" w:eastAsia="Times New Roman" w:hAnsi="Arial" w:cs="Arial"/>
      <w:b/>
      <w:bCs/>
      <w:sz w:val="16"/>
      <w:szCs w:val="16"/>
    </w:rPr>
  </w:style>
  <w:style w:type="paragraph" w:customStyle="1" w:styleId="part">
    <w:name w:val="part"/>
    <w:basedOn w:val="Normal"/>
    <w:rsid w:val="007E5DD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ubpart">
    <w:name w:val="subpart"/>
    <w:basedOn w:val="Normal"/>
    <w:rsid w:val="007E5DDE"/>
    <w:pPr>
      <w:shd w:val="clear" w:color="auto" w:fill="FFFFFF"/>
      <w:spacing w:before="100" w:beforeAutospacing="1" w:after="100" w:afterAutospacing="1" w:line="240" w:lineRule="auto"/>
    </w:pPr>
    <w:rPr>
      <w:rFonts w:ascii="Times New Roman" w:eastAsia="Times New Roman" w:hAnsi="Times New Roman" w:cs="Times New Roman"/>
      <w:color w:val="0000FF"/>
    </w:rPr>
  </w:style>
  <w:style w:type="paragraph" w:customStyle="1" w:styleId="nopart">
    <w:name w:val="nopart"/>
    <w:basedOn w:val="Normal"/>
    <w:rsid w:val="007E5DDE"/>
    <w:pPr>
      <w:shd w:val="clear" w:color="auto" w:fill="FFFFFF"/>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reserved">
    <w:name w:val="reserved"/>
    <w:basedOn w:val="Normal"/>
    <w:rsid w:val="007E5DDE"/>
    <w:pPr>
      <w:shd w:val="clear" w:color="auto"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enu">
    <w:name w:val="menu"/>
    <w:basedOn w:val="Normal"/>
    <w:rsid w:val="007E5DDE"/>
    <w:pPr>
      <w:spacing w:before="100" w:beforeAutospacing="1" w:after="100" w:afterAutospacing="1" w:line="240" w:lineRule="auto"/>
    </w:pPr>
    <w:rPr>
      <w:rFonts w:ascii="Arial" w:eastAsia="Times New Roman" w:hAnsi="Arial" w:cs="Arial"/>
      <w:sz w:val="14"/>
      <w:szCs w:val="14"/>
    </w:rPr>
  </w:style>
  <w:style w:type="paragraph" w:customStyle="1" w:styleId="hilite">
    <w:name w:val="hilite"/>
    <w:basedOn w:val="Normal"/>
    <w:rsid w:val="007E5DDE"/>
    <w:pPr>
      <w:spacing w:before="100" w:beforeAutospacing="1" w:after="100" w:afterAutospacing="1" w:line="240" w:lineRule="auto"/>
    </w:pPr>
    <w:rPr>
      <w:rFonts w:ascii="Times New Roman" w:eastAsia="Times New Roman" w:hAnsi="Times New Roman" w:cs="Times New Roman"/>
      <w:b/>
      <w:bCs/>
      <w:color w:val="CC0000"/>
      <w:sz w:val="24"/>
      <w:szCs w:val="24"/>
    </w:rPr>
  </w:style>
  <w:style w:type="paragraph" w:customStyle="1" w:styleId="gpotblhang">
    <w:name w:val="gpotbl_hang"/>
    <w:basedOn w:val="Normal"/>
    <w:rsid w:val="007E5DDE"/>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7E5D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div">
    <w:name w:val="gpotbl_div"/>
    <w:basedOn w:val="Normal"/>
    <w:rsid w:val="007E5DDE"/>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title">
    <w:name w:val="gpotbl_title"/>
    <w:basedOn w:val="Normal"/>
    <w:rsid w:val="007E5DDE"/>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gpotbldescription">
    <w:name w:val="gpotbl_description"/>
    <w:basedOn w:val="Normal"/>
    <w:rsid w:val="007E5DD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potblcell">
    <w:name w:val="gpotbl_cell"/>
    <w:basedOn w:val="Normal"/>
    <w:rsid w:val="007E5DD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potblcolhed">
    <w:name w:val="gpotbl_colhed"/>
    <w:basedOn w:val="Normal"/>
    <w:rsid w:val="007E5DD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white">
    <w:name w:val="white"/>
    <w:basedOn w:val="Normal"/>
    <w:rsid w:val="007E5DDE"/>
    <w:pPr>
      <w:spacing w:after="0" w:line="240" w:lineRule="auto"/>
    </w:pPr>
    <w:rPr>
      <w:rFonts w:ascii="Times New Roman" w:eastAsia="Times New Roman" w:hAnsi="Times New Roman" w:cs="Times New Roman"/>
      <w:color w:val="FFFFFF"/>
      <w:sz w:val="24"/>
      <w:szCs w:val="24"/>
    </w:rPr>
  </w:style>
  <w:style w:type="paragraph" w:styleId="NormalWeb">
    <w:name w:val="Normal (Web)"/>
    <w:basedOn w:val="Normal"/>
    <w:uiPriority w:val="99"/>
    <w:semiHidden/>
    <w:unhideWhenUsed/>
    <w:rsid w:val="007E5D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7E5DDE"/>
    <w:rPr>
      <w:rFonts w:ascii="Arial" w:hAnsi="Arial" w:cs="Arial" w:hint="default"/>
      <w:b w:val="0"/>
      <w:bCs w:val="0"/>
      <w:i w:val="0"/>
      <w:iCs w:val="0"/>
      <w:smallCaps w:val="0"/>
      <w:sz w:val="14"/>
      <w:szCs w:val="14"/>
    </w:rPr>
  </w:style>
  <w:style w:type="character" w:styleId="Strong">
    <w:name w:val="Strong"/>
    <w:basedOn w:val="DefaultParagraphFont"/>
    <w:uiPriority w:val="22"/>
    <w:qFormat/>
    <w:rsid w:val="007E5DDE"/>
    <w:rPr>
      <w:b/>
      <w:bCs/>
    </w:rPr>
  </w:style>
  <w:style w:type="character" w:customStyle="1" w:styleId="mainheader1">
    <w:name w:val="mainheader1"/>
    <w:basedOn w:val="DefaultParagraphFont"/>
    <w:rsid w:val="007E5DDE"/>
    <w:rPr>
      <w:b/>
      <w:bCs/>
      <w:sz w:val="31"/>
      <w:szCs w:val="31"/>
    </w:rPr>
  </w:style>
  <w:style w:type="character" w:customStyle="1" w:styleId="div5head">
    <w:name w:val="div5head"/>
    <w:basedOn w:val="DefaultParagraphFont"/>
    <w:rsid w:val="007E5DDE"/>
  </w:style>
  <w:style w:type="paragraph" w:customStyle="1" w:styleId="gpotblnote">
    <w:name w:val="gpotbl_note"/>
    <w:basedOn w:val="Normal"/>
    <w:rsid w:val="007E5DD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E5D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DDE"/>
    <w:rPr>
      <w:rFonts w:ascii="Tahoma" w:hAnsi="Tahoma" w:cs="Tahoma"/>
      <w:sz w:val="16"/>
      <w:szCs w:val="16"/>
    </w:rPr>
  </w:style>
  <w:style w:type="paragraph" w:styleId="Header">
    <w:name w:val="header"/>
    <w:basedOn w:val="Normal"/>
    <w:link w:val="HeaderChar"/>
    <w:uiPriority w:val="99"/>
    <w:semiHidden/>
    <w:unhideWhenUsed/>
    <w:rsid w:val="007E5DD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E5DDE"/>
  </w:style>
  <w:style w:type="paragraph" w:styleId="Footer">
    <w:name w:val="footer"/>
    <w:basedOn w:val="Normal"/>
    <w:link w:val="FooterChar"/>
    <w:uiPriority w:val="99"/>
    <w:unhideWhenUsed/>
    <w:rsid w:val="007E5D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5DDE"/>
  </w:style>
</w:styles>
</file>

<file path=word/webSettings.xml><?xml version="1.0" encoding="utf-8"?>
<w:webSettings xmlns:r="http://schemas.openxmlformats.org/officeDocument/2006/relationships" xmlns:w="http://schemas.openxmlformats.org/wordprocessingml/2006/main">
  <w:divs>
    <w:div w:id="1439375738">
      <w:bodyDiv w:val="1"/>
      <w:marLeft w:val="0"/>
      <w:marRight w:val="0"/>
      <w:marTop w:val="0"/>
      <w:marBottom w:val="0"/>
      <w:divBdr>
        <w:top w:val="none" w:sz="0" w:space="0" w:color="auto"/>
        <w:left w:val="none" w:sz="0" w:space="0" w:color="auto"/>
        <w:bottom w:val="none" w:sz="0" w:space="0" w:color="auto"/>
        <w:right w:val="none" w:sz="0" w:space="0" w:color="auto"/>
      </w:divBdr>
      <w:divsChild>
        <w:div w:id="1477720394">
          <w:marLeft w:val="0"/>
          <w:marRight w:val="0"/>
          <w:marTop w:val="0"/>
          <w:marBottom w:val="0"/>
          <w:divBdr>
            <w:top w:val="none" w:sz="0" w:space="0" w:color="auto"/>
            <w:left w:val="none" w:sz="0" w:space="0" w:color="auto"/>
            <w:bottom w:val="none" w:sz="0" w:space="0" w:color="auto"/>
            <w:right w:val="none" w:sz="0" w:space="0" w:color="auto"/>
          </w:divBdr>
          <w:divsChild>
            <w:div w:id="683171409">
              <w:marLeft w:val="0"/>
              <w:marRight w:val="0"/>
              <w:marTop w:val="0"/>
              <w:marBottom w:val="0"/>
              <w:divBdr>
                <w:top w:val="single" w:sz="8" w:space="0" w:color="000000"/>
                <w:left w:val="single" w:sz="8" w:space="0" w:color="000000"/>
                <w:bottom w:val="single" w:sz="8" w:space="0" w:color="000000"/>
                <w:right w:val="single" w:sz="8" w:space="0" w:color="000000"/>
              </w:divBdr>
            </w:div>
            <w:div w:id="161620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ecfr.gpoaccess.gov/cgi/t/text/text-idx?c=ecfr;rgn=div6;view=text;node=40%3A9.0.1.1.1.2;idno=40;sid=d54a78b9c00f0aa49664cfc3474034a0;cc=ecfr" TargetMode="External"/><Relationship Id="rId11" Type="http://schemas.openxmlformats.org/officeDocument/2006/relationships/hyperlink" Target="http://ecfr.gpoaccess.gov/cgi/t/text/text-idx?c=ecfr;rgn=div2;view=text;node=20110518%3A1.5;idno=40;sid=d54a78b9c00f0aa49664cfc3474034a0;cc=ecfr;start=1;size=25"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ecfr.gpoaccess.gov/cgi/t/text/text-idx?c=ecfr;rgn=div2;view=text;node=20110321%3A1.25;idno=40;sid=d54a78b9c00f0aa49664cfc3474034a0;cc=ecfr;start=1;size=25"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3.gi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41741</Words>
  <Characters>237928</Characters>
  <Application>Microsoft Office Word</Application>
  <DocSecurity>0</DocSecurity>
  <Lines>1982</Lines>
  <Paragraphs>558</Paragraphs>
  <ScaleCrop>false</ScaleCrop>
  <Company/>
  <LinksUpToDate>false</LinksUpToDate>
  <CharactersWithSpaces>279111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2012-03-21T15:04:00Z</dcterms:created>
  <dcterms:modified xsi:type="dcterms:W3CDTF">2012-03-21T15:04:00Z</dcterms:modified>
</cp:coreProperties>
</file>